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3A16" w14:textId="77777777" w:rsidR="00FE0B59" w:rsidRDefault="00000000">
      <w:pPr>
        <w:widowControl w:val="0"/>
        <w:spacing w:line="240" w:lineRule="auto"/>
        <w:rPr>
          <w:b/>
          <w:color w:val="0000FF"/>
          <w:sz w:val="24"/>
          <w:szCs w:val="24"/>
        </w:rPr>
      </w:pPr>
      <w:r>
        <w:rPr>
          <w:b/>
          <w:noProof/>
          <w:color w:val="FF0000"/>
          <w:sz w:val="28"/>
          <w:szCs w:val="28"/>
        </w:rPr>
        <w:drawing>
          <wp:inline distT="114300" distB="114300" distL="114300" distR="114300" wp14:anchorId="1BF8136F" wp14:editId="170E426C">
            <wp:extent cx="2150926" cy="80486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4043" r="7503"/>
                    <a:stretch>
                      <a:fillRect/>
                    </a:stretch>
                  </pic:blipFill>
                  <pic:spPr>
                    <a:xfrm>
                      <a:off x="0" y="0"/>
                      <a:ext cx="2150926" cy="804863"/>
                    </a:xfrm>
                    <a:prstGeom prst="rect">
                      <a:avLst/>
                    </a:prstGeom>
                    <a:ln/>
                  </pic:spPr>
                </pic:pic>
              </a:graphicData>
            </a:graphic>
          </wp:inline>
        </w:drawing>
      </w:r>
      <w:r>
        <w:rPr>
          <w:b/>
          <w:color w:val="FF0000"/>
          <w:sz w:val="28"/>
          <w:szCs w:val="28"/>
        </w:rPr>
        <w:tab/>
      </w:r>
      <w:r>
        <w:rPr>
          <w:b/>
          <w:color w:val="FF0000"/>
          <w:sz w:val="28"/>
          <w:szCs w:val="28"/>
        </w:rPr>
        <w:tab/>
      </w:r>
      <w:r>
        <w:rPr>
          <w:b/>
          <w:color w:val="FF0000"/>
          <w:sz w:val="28"/>
          <w:szCs w:val="28"/>
        </w:rPr>
        <w:tab/>
      </w:r>
      <w:r>
        <w:rPr>
          <w:b/>
          <w:color w:val="FF0000"/>
          <w:sz w:val="28"/>
          <w:szCs w:val="28"/>
        </w:rPr>
        <w:tab/>
        <w:t xml:space="preserve">    </w:t>
      </w:r>
      <w:r>
        <w:rPr>
          <w:b/>
          <w:noProof/>
          <w:color w:val="FF0000"/>
          <w:sz w:val="28"/>
          <w:szCs w:val="28"/>
        </w:rPr>
        <w:drawing>
          <wp:inline distT="114300" distB="114300" distL="114300" distR="114300" wp14:anchorId="1916EC73" wp14:editId="1F79A8A2">
            <wp:extent cx="2033588" cy="78105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23333" b="22000"/>
                    <a:stretch>
                      <a:fillRect/>
                    </a:stretch>
                  </pic:blipFill>
                  <pic:spPr>
                    <a:xfrm>
                      <a:off x="0" y="0"/>
                      <a:ext cx="2033588" cy="781050"/>
                    </a:xfrm>
                    <a:prstGeom prst="rect">
                      <a:avLst/>
                    </a:prstGeom>
                    <a:ln/>
                  </pic:spPr>
                </pic:pic>
              </a:graphicData>
            </a:graphic>
          </wp:inline>
        </w:drawing>
      </w:r>
    </w:p>
    <w:p w14:paraId="6B763F3F" w14:textId="77777777" w:rsidR="00FE0B59" w:rsidRDefault="00FE0B59">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p>
    <w:p w14:paraId="32654B40" w14:textId="3A695918" w:rsidR="00FE0B59" w:rsidRDefault="00000000">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r>
        <w:rPr>
          <w:b/>
          <w:sz w:val="28"/>
          <w:szCs w:val="28"/>
        </w:rPr>
        <w:t xml:space="preserve">Stellantis Signals Its Continued Confidence in Archer </w:t>
      </w:r>
      <w:r w:rsidR="00BE3955">
        <w:rPr>
          <w:b/>
          <w:sz w:val="28"/>
          <w:szCs w:val="28"/>
        </w:rPr>
        <w:t xml:space="preserve">by </w:t>
      </w:r>
      <w:r>
        <w:rPr>
          <w:b/>
          <w:sz w:val="28"/>
          <w:szCs w:val="28"/>
        </w:rPr>
        <w:t xml:space="preserve">Further Increasing Its Strategic Shareholding </w:t>
      </w:r>
      <w:r w:rsidR="00BE3955">
        <w:rPr>
          <w:b/>
          <w:sz w:val="28"/>
          <w:szCs w:val="28"/>
        </w:rPr>
        <w:t>i</w:t>
      </w:r>
      <w:r>
        <w:rPr>
          <w:b/>
          <w:sz w:val="28"/>
          <w:szCs w:val="28"/>
        </w:rPr>
        <w:t xml:space="preserve">n </w:t>
      </w:r>
      <w:r w:rsidR="00BE3955">
        <w:rPr>
          <w:b/>
          <w:sz w:val="28"/>
          <w:szCs w:val="28"/>
        </w:rPr>
        <w:t>t</w:t>
      </w:r>
      <w:r>
        <w:rPr>
          <w:b/>
          <w:sz w:val="28"/>
          <w:szCs w:val="28"/>
        </w:rPr>
        <w:t>he Company</w:t>
      </w:r>
    </w:p>
    <w:p w14:paraId="7304975C" w14:textId="77777777" w:rsidR="00FE0B59" w:rsidRDefault="00FE0B59">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p>
    <w:p w14:paraId="122F9EB5" w14:textId="77777777" w:rsidR="00FE0B59" w:rsidRDefault="00000000">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r>
        <w:rPr>
          <w:b/>
          <w:noProof/>
          <w:sz w:val="28"/>
          <w:szCs w:val="28"/>
        </w:rPr>
        <w:drawing>
          <wp:inline distT="114300" distB="114300" distL="114300" distR="114300" wp14:anchorId="194712D0" wp14:editId="56A985BC">
            <wp:extent cx="5472113" cy="328113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23309" t="6259" r="6900" b="14096"/>
                    <a:stretch>
                      <a:fillRect/>
                    </a:stretch>
                  </pic:blipFill>
                  <pic:spPr>
                    <a:xfrm>
                      <a:off x="0" y="0"/>
                      <a:ext cx="5472113" cy="3281130"/>
                    </a:xfrm>
                    <a:prstGeom prst="rect">
                      <a:avLst/>
                    </a:prstGeom>
                    <a:ln/>
                  </pic:spPr>
                </pic:pic>
              </a:graphicData>
            </a:graphic>
          </wp:inline>
        </w:drawing>
      </w:r>
    </w:p>
    <w:p w14:paraId="47E84A03" w14:textId="77777777" w:rsidR="00FE0B59" w:rsidRDefault="00FE0B59">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p>
    <w:p w14:paraId="356C4123" w14:textId="77777777" w:rsidR="00FE0B59" w:rsidRDefault="00000000">
      <w:pPr>
        <w:pBdr>
          <w:top w:val="none" w:sz="0" w:space="0" w:color="E5E7EB"/>
          <w:left w:val="none" w:sz="0" w:space="0" w:color="E5E7EB"/>
          <w:bottom w:val="none" w:sz="0" w:space="0" w:color="E5E7EB"/>
          <w:right w:val="none" w:sz="0" w:space="0" w:color="E5E7EB"/>
          <w:between w:val="none" w:sz="0" w:space="0" w:color="E5E7EB"/>
        </w:pBdr>
        <w:jc w:val="center"/>
        <w:rPr>
          <w:b/>
          <w:sz w:val="24"/>
          <w:szCs w:val="24"/>
        </w:rPr>
      </w:pPr>
      <w:r>
        <w:rPr>
          <w:b/>
          <w:sz w:val="24"/>
          <w:szCs w:val="24"/>
        </w:rPr>
        <w:t xml:space="preserve">Stellantis completes a series of open market purchases of ~8.3 million </w:t>
      </w:r>
      <w:proofErr w:type="gramStart"/>
      <w:r>
        <w:rPr>
          <w:b/>
          <w:sz w:val="24"/>
          <w:szCs w:val="24"/>
        </w:rPr>
        <w:t>shares</w:t>
      </w:r>
      <w:proofErr w:type="gramEnd"/>
      <w:r>
        <w:rPr>
          <w:b/>
          <w:sz w:val="24"/>
          <w:szCs w:val="24"/>
        </w:rPr>
        <w:t xml:space="preserve"> </w:t>
      </w:r>
    </w:p>
    <w:p w14:paraId="150BB2B6" w14:textId="77777777" w:rsidR="00FE0B59" w:rsidRDefault="00FE0B59">
      <w:pPr>
        <w:pBdr>
          <w:top w:val="none" w:sz="0" w:space="0" w:color="E5E7EB"/>
          <w:left w:val="none" w:sz="0" w:space="0" w:color="E5E7EB"/>
          <w:bottom w:val="none" w:sz="0" w:space="0" w:color="E5E7EB"/>
          <w:right w:val="none" w:sz="0" w:space="0" w:color="E5E7EB"/>
          <w:between w:val="none" w:sz="0" w:space="0" w:color="E5E7EB"/>
        </w:pBdr>
      </w:pPr>
    </w:p>
    <w:p w14:paraId="7CD39F2B" w14:textId="768BB785"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r>
        <w:rPr>
          <w:b/>
        </w:rPr>
        <w:t>AMSTERDAM AND SANTA CLARA, CALIFORNIA, March</w:t>
      </w:r>
      <w:r w:rsidR="006961E0">
        <w:rPr>
          <w:b/>
        </w:rPr>
        <w:t xml:space="preserve"> 18</w:t>
      </w:r>
      <w:r>
        <w:rPr>
          <w:b/>
        </w:rPr>
        <w:t>, 2024</w:t>
      </w:r>
      <w:r>
        <w:t xml:space="preserve"> – </w:t>
      </w:r>
      <w:hyperlink r:id="rId8">
        <w:r>
          <w:rPr>
            <w:b/>
            <w:color w:val="1155CC"/>
            <w:u w:val="single"/>
          </w:rPr>
          <w:t>Stellantis N.V.</w:t>
        </w:r>
      </w:hyperlink>
      <w:r>
        <w:t xml:space="preserve"> and </w:t>
      </w:r>
      <w:hyperlink r:id="rId9">
        <w:r>
          <w:rPr>
            <w:b/>
            <w:color w:val="1155CC"/>
            <w:u w:val="single"/>
          </w:rPr>
          <w:t>Archer Aviation Inc.</w:t>
        </w:r>
      </w:hyperlink>
      <w:r>
        <w:t xml:space="preserve"> (NYSE: ACHR) today announced that Stellantis recently completed a series of open market purchases of ~8.3 million shares of Archer’s stock signaling Stellantis’ continued confidence in Archer’s plans to bring electric vertical take-off and landing (</w:t>
      </w:r>
      <w:proofErr w:type="spellStart"/>
      <w:r>
        <w:t>eVTOL</w:t>
      </w:r>
      <w:proofErr w:type="spellEnd"/>
      <w:r>
        <w:t xml:space="preserve">) aircraft to market beginning in 2025. </w:t>
      </w:r>
      <w:proofErr w:type="spellStart"/>
      <w:r>
        <w:t>Stellantis</w:t>
      </w:r>
      <w:proofErr w:type="spellEnd"/>
      <w:r>
        <w:t>’ increased investment in Archer follows CEO Carlos Tavares’ recent visit to Archer’s headquarters and manufacturing facilities in Santa Clara, California.</w:t>
      </w:r>
    </w:p>
    <w:p w14:paraId="5D8E3785"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pPr>
    </w:p>
    <w:p w14:paraId="33F4CFBF" w14:textId="46B605DA"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r>
        <w:t xml:space="preserve">In January 2023, Stellantis announced that its goal was for Stellantis to mass produce Archer’s Midnight aircraft as its exclusive contract manufacturer thereby allowing Archer to strengthen its path to commercialization by helping it avoid hundreds of millions of dollars of spending. The construction on the first phase of Archer’s high-volume manufacturing facility in Georgia remains on track to be completed later this year. The first phase is a build out of ~350,000 square feet on </w:t>
      </w:r>
      <w:r>
        <w:lastRenderedPageBreak/>
        <w:t>a ~</w:t>
      </w:r>
      <w:proofErr w:type="gramStart"/>
      <w:r>
        <w:t>100 acre</w:t>
      </w:r>
      <w:proofErr w:type="gramEnd"/>
      <w:r>
        <w:t xml:space="preserve"> site designed to support production of up to 650 aircraft annually, which would make it one of the largest manufacturing facilities by volume in the aircraft industry.</w:t>
      </w:r>
    </w:p>
    <w:p w14:paraId="29F52997" w14:textId="77777777" w:rsidR="006961E0" w:rsidRDefault="006961E0" w:rsidP="00AB5356">
      <w:pPr>
        <w:pBdr>
          <w:top w:val="none" w:sz="0" w:space="0" w:color="E5E7EB"/>
          <w:left w:val="none" w:sz="0" w:space="0" w:color="E5E7EB"/>
          <w:bottom w:val="none" w:sz="0" w:space="0" w:color="E5E7EB"/>
          <w:right w:val="none" w:sz="0" w:space="0" w:color="E5E7EB"/>
          <w:between w:val="none" w:sz="0" w:space="0" w:color="E5E7EB"/>
        </w:pBdr>
        <w:jc w:val="both"/>
      </w:pPr>
    </w:p>
    <w:p w14:paraId="3FF7E338" w14:textId="4DC677BF" w:rsidR="006961E0" w:rsidRDefault="006961E0" w:rsidP="00AB5356">
      <w:pPr>
        <w:pBdr>
          <w:top w:val="none" w:sz="0" w:space="0" w:color="E5E7EB"/>
          <w:left w:val="none" w:sz="0" w:space="0" w:color="E5E7EB"/>
          <w:bottom w:val="none" w:sz="0" w:space="0" w:color="E5E7EB"/>
          <w:right w:val="none" w:sz="0" w:space="0" w:color="E5E7EB"/>
          <w:between w:val="none" w:sz="0" w:space="0" w:color="E5E7EB"/>
        </w:pBdr>
        <w:jc w:val="both"/>
      </w:pPr>
      <w:r w:rsidRPr="006961E0">
        <w:t>Archer’s Midnight aircraft is designed to be safe, sustainable, quiet and carry four passengers plus a pilot.</w:t>
      </w:r>
      <w:r>
        <w:t xml:space="preserve"> </w:t>
      </w:r>
      <w:r w:rsidRPr="006961E0">
        <w:t>Midnight is optimized for back-to-back short distance trips of around 20-50 miles, with a charging time of approximately 10 minutes in-between.</w:t>
      </w:r>
    </w:p>
    <w:p w14:paraId="7678ED71"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pPr>
    </w:p>
    <w:p w14:paraId="183A1059" w14:textId="5D4F702F" w:rsidR="00FE0B59" w:rsidRDefault="00000000" w:rsidP="00AB5356">
      <w:pPr>
        <w:jc w:val="both"/>
      </w:pPr>
      <w:r>
        <w:t>“Archer has established itself as a market leader in the electrification of aviation and we believe that together we can usher in the next transportation</w:t>
      </w:r>
      <w:r w:rsidR="00AB5356">
        <w:t xml:space="preserve"> </w:t>
      </w:r>
      <w:r>
        <w:t>revolution,” said Stellantis CEO Carlos Tavares. “This recent move by Stellantis signals our confidence in Archer’s team and the progress we see firsthand through our deep partnership.”</w:t>
      </w:r>
    </w:p>
    <w:p w14:paraId="0691E966"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pPr>
    </w:p>
    <w:p w14:paraId="26B390F9"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r>
        <w:t xml:space="preserve">“We are on the cusp of changing the way the world moves in the sky,” said Adam Goldstein, </w:t>
      </w:r>
      <w:proofErr w:type="gramStart"/>
      <w:r>
        <w:t>founder</w:t>
      </w:r>
      <w:proofErr w:type="gramEnd"/>
      <w:r>
        <w:t xml:space="preserve"> and CEO of Archer. “Archer and Stellantis are working side by side to realize a once-in-a-generation opportunity to redefine urban transportation and deliver tremendous value to the world’s cities and our shareholders.”</w:t>
      </w:r>
    </w:p>
    <w:p w14:paraId="51CD6CA9"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pPr>
    </w:p>
    <w:p w14:paraId="50CE5ED1"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hyperlink r:id="rId10">
        <w:r>
          <w:rPr>
            <w:b/>
            <w:color w:val="1155CC"/>
            <w:u w:val="single"/>
          </w:rPr>
          <w:t>Stellantis has been a strategic partner to Archer</w:t>
        </w:r>
      </w:hyperlink>
      <w:r>
        <w:t xml:space="preserve"> since 2020 through various collaboration initiatives, and as an investor since 2021. During this time, Archer has leveraged Stellantis’ deep manufacturing, supply chain, and design expertise in connection with Archer’s efforts to design, develop, and commercialize its </w:t>
      </w:r>
      <w:proofErr w:type="spellStart"/>
      <w:r>
        <w:t>eVTOL</w:t>
      </w:r>
      <w:proofErr w:type="spellEnd"/>
      <w:r>
        <w:t xml:space="preserve"> aircraft.</w:t>
      </w:r>
    </w:p>
    <w:p w14:paraId="18186673" w14:textId="77777777" w:rsidR="00FE0B59" w:rsidRDefault="00FE0B59">
      <w:pPr>
        <w:pBdr>
          <w:top w:val="none" w:sz="0" w:space="0" w:color="E5E7EB"/>
          <w:left w:val="none" w:sz="0" w:space="0" w:color="E5E7EB"/>
          <w:bottom w:val="none" w:sz="0" w:space="0" w:color="E5E7EB"/>
          <w:right w:val="none" w:sz="0" w:space="0" w:color="E5E7EB"/>
          <w:between w:val="none" w:sz="0" w:space="0" w:color="E5E7EB"/>
        </w:pBdr>
      </w:pPr>
    </w:p>
    <w:p w14:paraId="7B1EFA2E" w14:textId="77777777" w:rsidR="00FE0B59" w:rsidRDefault="00000000">
      <w:pPr>
        <w:jc w:val="center"/>
      </w:pPr>
      <w:r>
        <w:t># # #</w:t>
      </w:r>
    </w:p>
    <w:p w14:paraId="6E709D96" w14:textId="77777777" w:rsidR="00FE0B59" w:rsidRDefault="00FE0B59"/>
    <w:p w14:paraId="715A6C77"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rPr>
          <w:b/>
        </w:rPr>
      </w:pPr>
      <w:r>
        <w:rPr>
          <w:b/>
        </w:rPr>
        <w:t>About Stellantis</w:t>
      </w:r>
    </w:p>
    <w:p w14:paraId="34FFFD81"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rPr>
          <w:b/>
        </w:rPr>
      </w:pPr>
    </w:p>
    <w:p w14:paraId="5BAD0378"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r>
        <w:t xml:space="preserve">Stellantis N.V. (NYSE: STLA / Euronext Milan: STLAM / Euronext Paris: STLAP) is one of the world’s leading automakers aiming to provide clean, </w:t>
      </w:r>
      <w:proofErr w:type="gramStart"/>
      <w:r>
        <w:t>safe</w:t>
      </w:r>
      <w:proofErr w:type="gramEnd"/>
      <w:r>
        <w:t xml:space="preserve"> and affordable freedom of mobility to all. It’s best known for its unique portfolio of iconic and innovative brands including Abarth, Alfa Romeo, Chrysler, Citroën, Dodge, DS Automobiles, Fiat, Jeep</w:t>
      </w:r>
      <w:r w:rsidRPr="00CC4D52">
        <w:rPr>
          <w:vertAlign w:val="subscript"/>
        </w:rPr>
        <w:t>®</w:t>
      </w:r>
      <w:r>
        <w:t xml:space="preserve">, Lancia, Maserati, Opel, Peugeot, Ram, Vauxhall, Free2move and </w:t>
      </w:r>
      <w:proofErr w:type="spellStart"/>
      <w:r>
        <w:t>Leasys</w:t>
      </w:r>
      <w:proofErr w:type="spellEnd"/>
      <w:r>
        <w:t xml:space="preserve">. Stellantis is executing its Dare Forward 2030, a bold strategic plan that paves the way to achieve the ambitious target of becoming a carbon net zero mobility tech company by 2038, with single-digit percentage compensation of the remaining emissions, while creating added value for all stakeholders. For more information, visit </w:t>
      </w:r>
      <w:hyperlink r:id="rId11">
        <w:r>
          <w:rPr>
            <w:color w:val="0000FF"/>
            <w:u w:val="single"/>
          </w:rPr>
          <w:t>www.stellantis.com</w:t>
        </w:r>
      </w:hyperlink>
    </w:p>
    <w:p w14:paraId="176B08FC" w14:textId="77777777" w:rsidR="00FE0B59" w:rsidRDefault="00FE0B59" w:rsidP="00AB5356">
      <w:pPr>
        <w:jc w:val="both"/>
      </w:pPr>
    </w:p>
    <w:p w14:paraId="00445EBA" w14:textId="77777777" w:rsidR="00FE0B59" w:rsidRDefault="00000000" w:rsidP="00AB5356">
      <w:pPr>
        <w:jc w:val="both"/>
        <w:rPr>
          <w:b/>
        </w:rPr>
      </w:pPr>
      <w:r>
        <w:rPr>
          <w:b/>
        </w:rPr>
        <w:t>About Archer</w:t>
      </w:r>
    </w:p>
    <w:p w14:paraId="59F2BB5E" w14:textId="77777777" w:rsidR="00FE0B59" w:rsidRDefault="00FE0B59" w:rsidP="00AB5356">
      <w:pPr>
        <w:jc w:val="both"/>
      </w:pPr>
    </w:p>
    <w:p w14:paraId="500AEF06" w14:textId="690C664B" w:rsidR="00FE0B59" w:rsidRDefault="00000000" w:rsidP="00AB5356">
      <w:pPr>
        <w:jc w:val="both"/>
      </w:pPr>
      <w:r>
        <w:t>Archer is designing and developing electric vertical takeoff and landing aircraft for use in urban air mobility networks. Archer’s mission is to unlock the skies, freeing everyone to reimagine how they move and spend time. Archer</w:t>
      </w:r>
      <w:r w:rsidR="00BE3955">
        <w:t>’</w:t>
      </w:r>
      <w:r>
        <w:t xml:space="preserve">s team is based in Santa Clara, CA. </w:t>
      </w:r>
    </w:p>
    <w:p w14:paraId="4E80944B" w14:textId="77777777" w:rsidR="00FE0B59" w:rsidRDefault="00FE0B59" w:rsidP="00AB5356">
      <w:pPr>
        <w:jc w:val="both"/>
      </w:pPr>
    </w:p>
    <w:p w14:paraId="35C5D64A" w14:textId="77777777" w:rsidR="00FE0B59" w:rsidRDefault="00000000" w:rsidP="00AB5356">
      <w:pPr>
        <w:jc w:val="both"/>
      </w:pPr>
      <w:r>
        <w:t>To learn more, visit www.archer.com.</w:t>
      </w:r>
    </w:p>
    <w:p w14:paraId="01BAB4F2" w14:textId="77777777" w:rsidR="00FE0B59" w:rsidRDefault="00FE0B59"/>
    <w:p w14:paraId="72BC5624" w14:textId="77777777" w:rsidR="00FE0B59" w:rsidRPr="00AB5356" w:rsidRDefault="00000000">
      <w:pPr>
        <w:pBdr>
          <w:top w:val="none" w:sz="0" w:space="0" w:color="E5E7EB"/>
          <w:left w:val="none" w:sz="0" w:space="0" w:color="E5E7EB"/>
          <w:bottom w:val="none" w:sz="0" w:space="0" w:color="E5E7EB"/>
          <w:right w:val="none" w:sz="0" w:space="0" w:color="E5E7EB"/>
          <w:between w:val="none" w:sz="0" w:space="0" w:color="E5E7EB"/>
        </w:pBdr>
        <w:rPr>
          <w:b/>
          <w:lang w:val="it-IT"/>
        </w:rPr>
      </w:pPr>
      <w:r w:rsidRPr="00AB5356">
        <w:rPr>
          <w:b/>
          <w:lang w:val="it-IT"/>
        </w:rPr>
        <w:lastRenderedPageBreak/>
        <w:t>Stellantis Media Contacts</w:t>
      </w:r>
    </w:p>
    <w:p w14:paraId="3E41A60E" w14:textId="77777777" w:rsidR="00FE0B59" w:rsidRPr="00AB5356" w:rsidRDefault="00FE0B59">
      <w:pPr>
        <w:pBdr>
          <w:top w:val="none" w:sz="0" w:space="0" w:color="E5E7EB"/>
          <w:left w:val="none" w:sz="0" w:space="0" w:color="E5E7EB"/>
          <w:bottom w:val="none" w:sz="0" w:space="0" w:color="E5E7EB"/>
          <w:right w:val="none" w:sz="0" w:space="0" w:color="E5E7EB"/>
          <w:between w:val="none" w:sz="0" w:space="0" w:color="E5E7EB"/>
        </w:pBdr>
        <w:rPr>
          <w:b/>
          <w:lang w:val="it-IT"/>
        </w:rPr>
      </w:pPr>
    </w:p>
    <w:p w14:paraId="778C451E" w14:textId="77777777" w:rsidR="00FE0B59" w:rsidRPr="00AB5356" w:rsidRDefault="00000000">
      <w:pPr>
        <w:pBdr>
          <w:top w:val="none" w:sz="0" w:space="0" w:color="E5E7EB"/>
          <w:left w:val="none" w:sz="0" w:space="0" w:color="E5E7EB"/>
          <w:bottom w:val="none" w:sz="0" w:space="0" w:color="E5E7EB"/>
          <w:right w:val="none" w:sz="0" w:space="0" w:color="E5E7EB"/>
          <w:between w:val="none" w:sz="0" w:space="0" w:color="E5E7EB"/>
        </w:pBdr>
        <w:rPr>
          <w:lang w:val="it-IT"/>
        </w:rPr>
      </w:pPr>
      <w:r w:rsidRPr="00AB5356">
        <w:rPr>
          <w:lang w:val="it-IT"/>
        </w:rPr>
        <w:t xml:space="preserve">Fernão SILVEIRA +31 6 43 25 43 41 – </w:t>
      </w:r>
      <w:r w:rsidRPr="00AB5356">
        <w:rPr>
          <w:b/>
          <w:lang w:val="it-IT"/>
        </w:rPr>
        <w:t>fernao.silveira@stellantis.com</w:t>
      </w:r>
      <w:r w:rsidRPr="00AB5356">
        <w:rPr>
          <w:lang w:val="it-IT"/>
        </w:rPr>
        <w:t xml:space="preserve"> </w:t>
      </w:r>
    </w:p>
    <w:p w14:paraId="5B448E87" w14:textId="77777777" w:rsidR="00FE0B59" w:rsidRDefault="00000000">
      <w:pPr>
        <w:pBdr>
          <w:top w:val="none" w:sz="0" w:space="0" w:color="E5E7EB"/>
          <w:left w:val="none" w:sz="0" w:space="0" w:color="E5E7EB"/>
          <w:bottom w:val="none" w:sz="0" w:space="0" w:color="E5E7EB"/>
          <w:right w:val="none" w:sz="0" w:space="0" w:color="E5E7EB"/>
          <w:between w:val="none" w:sz="0" w:space="0" w:color="E5E7EB"/>
        </w:pBdr>
        <w:rPr>
          <w:b/>
        </w:rPr>
      </w:pPr>
      <w:r>
        <w:t xml:space="preserve">Shawn MORGAN +1 248 760 2621 – </w:t>
      </w:r>
      <w:r>
        <w:rPr>
          <w:b/>
        </w:rPr>
        <w:t>shawn.morgan@stellantis.com</w:t>
      </w:r>
      <w:r>
        <w:t xml:space="preserve"> </w:t>
      </w:r>
    </w:p>
    <w:p w14:paraId="701CA9FB" w14:textId="77777777" w:rsidR="00FE0B59" w:rsidRDefault="00FE0B59">
      <w:pPr>
        <w:rPr>
          <w:b/>
        </w:rPr>
      </w:pPr>
    </w:p>
    <w:p w14:paraId="16B1F354" w14:textId="77777777" w:rsidR="00FE0B59" w:rsidRDefault="00000000">
      <w:pPr>
        <w:rPr>
          <w:b/>
        </w:rPr>
      </w:pPr>
      <w:r>
        <w:rPr>
          <w:b/>
        </w:rPr>
        <w:t>Archer Media Contacts</w:t>
      </w:r>
    </w:p>
    <w:p w14:paraId="43D09BC8" w14:textId="77777777" w:rsidR="00FE0B59" w:rsidRDefault="00FE0B59"/>
    <w:p w14:paraId="34F51F53" w14:textId="77777777" w:rsidR="00FE0B59" w:rsidRDefault="00000000">
      <w:r>
        <w:t>The Brand Amp - Archer@TheBrandAmp.com</w:t>
      </w:r>
    </w:p>
    <w:p w14:paraId="3ABF7A8F" w14:textId="77777777" w:rsidR="00FE0B59" w:rsidRDefault="00FE0B59"/>
    <w:p w14:paraId="5ECD9DC2"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rPr>
          <w:b/>
        </w:rPr>
      </w:pPr>
      <w:r>
        <w:rPr>
          <w:b/>
        </w:rPr>
        <w:t>Archer Forward-Looking Statements</w:t>
      </w:r>
    </w:p>
    <w:p w14:paraId="112A0534" w14:textId="47E1CE00"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r>
        <w:t xml:space="preserve">This press release contains forward-looking statements regarding Archer’s future business plans and product roadmaps, and the expected timing thereof, including statements regarding the development, commercialization, and manufacturing of Archer’s </w:t>
      </w:r>
      <w:proofErr w:type="spellStart"/>
      <w:r>
        <w:t>eVTOL</w:t>
      </w:r>
      <w:proofErr w:type="spellEnd"/>
      <w:r>
        <w:t xml:space="preserve"> aircraft, such as the timeline for commercialization of Archer’s </w:t>
      </w:r>
      <w:proofErr w:type="spellStart"/>
      <w:r>
        <w:t>eVTOL</w:t>
      </w:r>
      <w:proofErr w:type="spellEnd"/>
      <w:r>
        <w:t xml:space="preserve"> aircraft. These </w:t>
      </w:r>
      <w:proofErr w:type="gramStart"/>
      <w:r>
        <w:t>forward looking</w:t>
      </w:r>
      <w:proofErr w:type="gramEnd"/>
      <w:r>
        <w:t xml:space="preserve"> statements are only predictions and may differ materially from actual results due to a variety of factors. The risks and uncertainties that could cause actual results to differ from the results predicted are more fully detailed under the caption </w:t>
      </w:r>
      <w:r w:rsidR="00BE3955">
        <w:t>“</w:t>
      </w:r>
      <w:r>
        <w:t>Risk Factors</w:t>
      </w:r>
      <w:r w:rsidR="00BE3955">
        <w:t xml:space="preserve">” </w:t>
      </w:r>
      <w:r>
        <w:t xml:space="preserve">in Archer’s Annual Report on Form 10-K for the year ended December 31, 2023, as well as other documents filed by Archer from time to time with the Securities and Exchange Commission (SEC) available on the SEC website at www.sec.gov. In addition, please note that any </w:t>
      </w:r>
      <w:proofErr w:type="gramStart"/>
      <w:r>
        <w:t>forward</w:t>
      </w:r>
      <w:r w:rsidR="00AB5356">
        <w:t xml:space="preserve"> </w:t>
      </w:r>
      <w:r>
        <w:t>looking</w:t>
      </w:r>
      <w:proofErr w:type="gramEnd"/>
      <w:r>
        <w:t xml:space="preserve"> statements contained herein are based on assumptions that Archer believes to be reasonable as of the date of this press release. Archer undertakes no obligation to update these statements </w:t>
      </w:r>
      <w:proofErr w:type="gramStart"/>
      <w:r>
        <w:t>as a result of</w:t>
      </w:r>
      <w:proofErr w:type="gramEnd"/>
      <w:r>
        <w:t xml:space="preserve"> new information or future events.</w:t>
      </w:r>
    </w:p>
    <w:p w14:paraId="14165AAF"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pPr>
    </w:p>
    <w:p w14:paraId="38A1A74B"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rPr>
          <w:b/>
        </w:rPr>
      </w:pPr>
      <w:r>
        <w:rPr>
          <w:b/>
        </w:rPr>
        <w:t>Stellantis Forward-Looking Statements</w:t>
      </w:r>
    </w:p>
    <w:p w14:paraId="2C9BB92C"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r>
        <w:t xml:space="preserve">This communication contains forward-looking statements. </w:t>
      </w:r>
      <w:proofErr w:type="gramStart"/>
      <w:r>
        <w:t>In particular, statements</w:t>
      </w:r>
      <w:proofErr w:type="gramEnd"/>
      <w: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D1B870D"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pPr>
    </w:p>
    <w:p w14:paraId="5418F528" w14:textId="77777777" w:rsidR="00FE0B59" w:rsidRDefault="00000000" w:rsidP="00AB5356">
      <w:pPr>
        <w:pBdr>
          <w:top w:val="none" w:sz="0" w:space="0" w:color="E5E7EB"/>
          <w:left w:val="none" w:sz="0" w:space="0" w:color="E5E7EB"/>
          <w:bottom w:val="none" w:sz="0" w:space="0" w:color="E5E7EB"/>
          <w:right w:val="none" w:sz="0" w:space="0" w:color="E5E7EB"/>
          <w:between w:val="none" w:sz="0" w:space="0" w:color="E5E7EB"/>
        </w:pBdr>
        <w:jc w:val="both"/>
      </w:pPr>
      <w:r>
        <w:t xml:space="preserve">Actual results may differ materially from those expressed in forward-looking statements as a result of a variety of factors, including: the ability of Stellantis to launch new products successfully and to maintain vehicle shipment volumes; changes in the global financial markets, general economic environment and changes in demand for automotive products, which is subject to cyclicality; Stellantis’ ability to successfully manage the industry-wide transition from internal combustion engines to full electrification; Stellantis’ ability to offer innovative, attractive products and to </w:t>
      </w:r>
      <w:r>
        <w:lastRenderedPageBreak/>
        <w:t>develop, manufacture and sell vehicles with advanced features including enhanced electrification, connectivity and autonomous-driving characteristics; Stellantis’ ability to produce or procure electric batteries with competitive performance, cost and at required volumes; Stellantis’ ability to successfully launch new businesses and integrate acquisitions; a significant malfunction, disruption or security breach compromising information technology systems or the electronic control systems contained in Stellantis’ vehicles; exchange rate fluctuations, interest rate changes, credit risk and other market risks; increases in costs, disruptions of supply or shortages of raw materials, parts, components and systems used in Stellantis’ vehicles; changes in local economic and political conditions; changes in trade policy, the imposition of global and regional tariffs or tariffs targeted to the automotive industry, the enactment of tax reforms or other changes in tax laws and regulations; the level of governmental economic incentives available to support the adoption of battery electric vehicles; the impact of increasingly stringent regulations regarding fuel efficiency requirements and reduced greenhouse gas and tailpipe emissions;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level of competition in the automotive industry, which may increase due to consolidation and new entrants; Stellantis’ ability to attract and retain experienced management and employees; exposure to shortfalls in the funding of Stellantis’ defined benefit pension plans; Stellantis’ ability to provide or arrange for access to adequate financing for dealers and retail customers and associated risks related to the operations of financial services companies; Stellantis’ ability to access funding to execute its business plan; Stellantis’ ability to realize anticipated benefits from joint venture arrangements; disruptions arising from political, social and economic instability; risks associated with Stellantis’ relationships with employees, dealers and suppliers; Stellantis’ ability to maintain effective internal controls over financial reporting; developments in labor and industrial relations and developments in applicable labor laws; earthquakes or other disasters; risks and other items described in Stellantis’ Annual Report on Form 20-F for the year ended December 31, 2023 and Current Reports on Form 6-K and amendments thereto filed with the SEC; and other risks and uncertainties.</w:t>
      </w:r>
    </w:p>
    <w:p w14:paraId="5C81EE0D" w14:textId="77777777" w:rsidR="00FE0B59" w:rsidRDefault="00FE0B59" w:rsidP="00AB5356">
      <w:pPr>
        <w:pBdr>
          <w:top w:val="none" w:sz="0" w:space="0" w:color="E5E7EB"/>
          <w:left w:val="none" w:sz="0" w:space="0" w:color="E5E7EB"/>
          <w:bottom w:val="none" w:sz="0" w:space="0" w:color="E5E7EB"/>
          <w:right w:val="none" w:sz="0" w:space="0" w:color="E5E7EB"/>
          <w:between w:val="none" w:sz="0" w:space="0" w:color="E5E7EB"/>
        </w:pBdr>
        <w:jc w:val="both"/>
      </w:pPr>
    </w:p>
    <w:p w14:paraId="7F963F7C" w14:textId="3CA8BA7B" w:rsidR="00FE0B59" w:rsidRDefault="00000000" w:rsidP="00AB5356">
      <w:pPr>
        <w:jc w:val="both"/>
      </w:pPr>
      <w: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421C2A7F" w14:textId="77777777" w:rsidR="00FE0B59" w:rsidRDefault="00FE0B59" w:rsidP="00AB5356">
      <w:pPr>
        <w:jc w:val="both"/>
      </w:pPr>
    </w:p>
    <w:p w14:paraId="374C8206" w14:textId="77777777" w:rsidR="00FE0B59" w:rsidRDefault="00FE0B59"/>
    <w:p w14:paraId="0D24ED5C" w14:textId="77777777" w:rsidR="00FE0B59" w:rsidRDefault="00FE0B59">
      <w:pPr>
        <w:rPr>
          <w:b/>
        </w:rPr>
      </w:pPr>
    </w:p>
    <w:p w14:paraId="5CB29958" w14:textId="77777777" w:rsidR="00FE0B59" w:rsidRDefault="00FE0B59"/>
    <w:p w14:paraId="4AB1A447" w14:textId="77777777" w:rsidR="00FE0B59" w:rsidRDefault="00FE0B59"/>
    <w:sectPr w:rsidR="00FE0B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59"/>
    <w:rsid w:val="000362E3"/>
    <w:rsid w:val="006961E0"/>
    <w:rsid w:val="00AB5356"/>
    <w:rsid w:val="00BE3955"/>
    <w:rsid w:val="00CC4D52"/>
    <w:rsid w:val="00F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D3D9"/>
  <w15:docId w15:val="{9AA73C27-6F1E-418D-A669-6EE06749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2883"/>
    <w:pPr>
      <w:ind w:left="720"/>
      <w:contextualSpacing/>
    </w:pPr>
  </w:style>
  <w:style w:type="paragraph" w:styleId="Revision">
    <w:name w:val="Revision"/>
    <w:hidden/>
    <w:uiPriority w:val="99"/>
    <w:semiHidden/>
    <w:rsid w:val="00C80A32"/>
    <w:pPr>
      <w:spacing w:line="240" w:lineRule="auto"/>
    </w:pPr>
  </w:style>
  <w:style w:type="character" w:styleId="Hyperlink">
    <w:name w:val="Hyperlink"/>
    <w:basedOn w:val="DefaultParagraphFont"/>
    <w:uiPriority w:val="99"/>
    <w:unhideWhenUsed/>
    <w:rsid w:val="009803DE"/>
    <w:rPr>
      <w:color w:val="0000FF" w:themeColor="hyperlink"/>
      <w:u w:val="single"/>
    </w:rPr>
  </w:style>
  <w:style w:type="character" w:styleId="UnresolvedMention">
    <w:name w:val="Unresolved Mention"/>
    <w:basedOn w:val="DefaultParagraphFont"/>
    <w:uiPriority w:val="99"/>
    <w:semiHidden/>
    <w:unhideWhenUsed/>
    <w:rsid w:val="009803DE"/>
    <w:rPr>
      <w:color w:val="605E5C"/>
      <w:shd w:val="clear" w:color="auto" w:fill="E1DFDD"/>
    </w:rPr>
  </w:style>
  <w:style w:type="character" w:styleId="CommentReference">
    <w:name w:val="annotation reference"/>
    <w:basedOn w:val="DefaultParagraphFont"/>
    <w:uiPriority w:val="99"/>
    <w:semiHidden/>
    <w:unhideWhenUsed/>
    <w:rsid w:val="00162275"/>
    <w:rPr>
      <w:sz w:val="16"/>
      <w:szCs w:val="16"/>
    </w:rPr>
  </w:style>
  <w:style w:type="paragraph" w:styleId="CommentText">
    <w:name w:val="annotation text"/>
    <w:basedOn w:val="Normal"/>
    <w:link w:val="CommentTextChar"/>
    <w:uiPriority w:val="99"/>
    <w:unhideWhenUsed/>
    <w:rsid w:val="00162275"/>
    <w:pPr>
      <w:spacing w:line="240" w:lineRule="auto"/>
    </w:pPr>
    <w:rPr>
      <w:sz w:val="20"/>
      <w:szCs w:val="20"/>
    </w:rPr>
  </w:style>
  <w:style w:type="character" w:customStyle="1" w:styleId="CommentTextChar">
    <w:name w:val="Comment Text Char"/>
    <w:basedOn w:val="DefaultParagraphFont"/>
    <w:link w:val="CommentText"/>
    <w:uiPriority w:val="99"/>
    <w:rsid w:val="00162275"/>
    <w:rPr>
      <w:sz w:val="20"/>
      <w:szCs w:val="20"/>
    </w:rPr>
  </w:style>
  <w:style w:type="paragraph" w:styleId="CommentSubject">
    <w:name w:val="annotation subject"/>
    <w:basedOn w:val="CommentText"/>
    <w:next w:val="CommentText"/>
    <w:link w:val="CommentSubjectChar"/>
    <w:uiPriority w:val="99"/>
    <w:semiHidden/>
    <w:unhideWhenUsed/>
    <w:rsid w:val="00162275"/>
    <w:rPr>
      <w:b/>
      <w:bCs/>
    </w:rPr>
  </w:style>
  <w:style w:type="character" w:customStyle="1" w:styleId="CommentSubjectChar">
    <w:name w:val="Comment Subject Char"/>
    <w:basedOn w:val="CommentTextChar"/>
    <w:link w:val="CommentSubject"/>
    <w:uiPriority w:val="99"/>
    <w:semiHidden/>
    <w:rsid w:val="00162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stellantis.com" TargetMode="External"/><Relationship Id="rId5" Type="http://schemas.openxmlformats.org/officeDocument/2006/relationships/image" Target="media/image1.png"/><Relationship Id="rId10" Type="http://schemas.openxmlformats.org/officeDocument/2006/relationships/hyperlink" Target="https://media.stellantisnorthamerica.com/newsrelease.do?id=22448&amp;mid=&amp;searchresult" TargetMode="External"/><Relationship Id="rId4" Type="http://schemas.openxmlformats.org/officeDocument/2006/relationships/webSettings" Target="webSettings.xml"/><Relationship Id="rId9" Type="http://schemas.openxmlformats.org/officeDocument/2006/relationships/hyperlink" Target="https://www.ar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Qw1Ce1MsAXjmJsNFa92vN+KSQ==">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8820</Characters>
  <Application>Microsoft Office Word</Application>
  <DocSecurity>0</DocSecurity>
  <Lines>73</Lines>
  <Paragraphs>20</Paragraphs>
  <ScaleCrop>false</ScaleCrop>
  <Company>Stellantis</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BLAISE</dc:creator>
  <cp:lastModifiedBy>KAILEEN</cp:lastModifiedBy>
  <cp:revision>2</cp:revision>
  <dcterms:created xsi:type="dcterms:W3CDTF">2024-03-18T11:46:00Z</dcterms:created>
  <dcterms:modified xsi:type="dcterms:W3CDTF">2024-03-18T11:46:00Z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ca717-11da-4935-b601-f527b9741f2e_Enabled">
    <vt:lpwstr>true</vt:lpwstr>
  </property>
  <property fmtid="{D5CDD505-2E9C-101B-9397-08002B2CF9AE}" pid="3" name="MSIP_Label_725ca717-11da-4935-b601-f527b9741f2e_SetDate">
    <vt:lpwstr>2024-03-11T20:09:12Z</vt:lpwstr>
  </property>
  <property fmtid="{D5CDD505-2E9C-101B-9397-08002B2CF9AE}" pid="4" name="MSIP_Label_725ca717-11da-4935-b601-f527b9741f2e_Method">
    <vt:lpwstr>Standard</vt:lpwstr>
  </property>
  <property fmtid="{D5CDD505-2E9C-101B-9397-08002B2CF9AE}" pid="5" name="MSIP_Label_725ca717-11da-4935-b601-f527b9741f2e_Name">
    <vt:lpwstr>C2 - Internal</vt:lpwstr>
  </property>
  <property fmtid="{D5CDD505-2E9C-101B-9397-08002B2CF9AE}" pid="6" name="MSIP_Label_725ca717-11da-4935-b601-f527b9741f2e_SiteId">
    <vt:lpwstr>d852d5cd-724c-4128-8812-ffa5db3f8507</vt:lpwstr>
  </property>
  <property fmtid="{D5CDD505-2E9C-101B-9397-08002B2CF9AE}" pid="7" name="MSIP_Label_725ca717-11da-4935-b601-f527b9741f2e_ActionId">
    <vt:lpwstr>5440d822-be04-461c-a4ae-221a614c53b2</vt:lpwstr>
  </property>
  <property fmtid="{D5CDD505-2E9C-101B-9397-08002B2CF9AE}" pid="8" name="MSIP_Label_725ca717-11da-4935-b601-f527b9741f2e_ContentBits">
    <vt:lpwstr>0</vt:lpwstr>
  </property>
</Properties>
</file>