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6266308"/>
    <w:p w14:paraId="75C4AA0A" w14:textId="79F2FFEE" w:rsidR="00BD59DD" w:rsidRDefault="0086416D" w:rsidP="00896F71">
      <w:pPr>
        <w:pStyle w:val="SSubjectBlock"/>
      </w:pPr>
      <w:r w:rsidRPr="00BA527D">
        <mc:AlternateContent>
          <mc:Choice Requires="wps">
            <w:drawing>
              <wp:anchor distT="0" distB="0" distL="114300" distR="114300" simplePos="0" relativeHeight="251658240" behindDoc="0" locked="1" layoutInCell="1" allowOverlap="0" wp14:anchorId="42679433" wp14:editId="1AAD449E">
                <wp:simplePos x="0" y="0"/>
                <wp:positionH relativeFrom="column">
                  <wp:posOffset>-1122</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019D09" id="Freeform 27" o:spid="_x0000_s1026"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" o:allowoverlap="f" path="m329,39l,39,27,,354,,329,39xe" fillcolor="#243782 [3204]" stroked="f">
                <v:path arrowok="t" o:connecttype="custom" o:connectlocs="399417,64008;0,64008;32779,0;429768,0;399417,64008" o:connectangles="0,0,0,0,0"/>
                <w10:wrap anchory="page"/>
                <w10:anchorlock/>
              </v:shape>
            </w:pict>
          </mc:Fallback>
        </mc:AlternateContent>
      </w:r>
      <w:r w:rsidR="00896F71" w:rsidRPr="00BA527D">
        <w:t xml:space="preserve">Stellantis </w:t>
      </w:r>
      <w:r w:rsidR="00DA4F73">
        <w:t>A</w:t>
      </w:r>
      <w:r w:rsidR="00104F75" w:rsidRPr="00104F75">
        <w:t xml:space="preserve">nnounces </w:t>
      </w:r>
      <w:r w:rsidR="00DA4F73">
        <w:t>L</w:t>
      </w:r>
      <w:r w:rsidR="00104F75" w:rsidRPr="00104F75">
        <w:t xml:space="preserve">aunch of </w:t>
      </w:r>
      <w:r w:rsidR="00DA4F73">
        <w:t>F</w:t>
      </w:r>
      <w:r w:rsidR="00D22277">
        <w:t xml:space="preserve">irst </w:t>
      </w:r>
      <w:r w:rsidR="00DA4F73">
        <w:t>T</w:t>
      </w:r>
      <w:r w:rsidR="00D22277">
        <w:t>ranche</w:t>
      </w:r>
    </w:p>
    <w:p w14:paraId="6716D25A" w14:textId="23DC1BC4" w:rsidR="00896F71" w:rsidRPr="00BA527D" w:rsidRDefault="00D22277" w:rsidP="00896F71">
      <w:pPr>
        <w:pStyle w:val="SSubjectBlock"/>
      </w:pPr>
      <w:r>
        <w:t xml:space="preserve">of </w:t>
      </w:r>
      <w:r w:rsidR="00045E1F">
        <w:t>I</w:t>
      </w:r>
      <w:r>
        <w:t xml:space="preserve">ts </w:t>
      </w:r>
      <w:r w:rsidR="00045E1F">
        <w:t xml:space="preserve">2024 </w:t>
      </w:r>
      <w:r w:rsidR="00857FC3">
        <w:t>Share Buyback Program</w:t>
      </w:r>
      <w:r w:rsidR="00896F71" w:rsidRPr="00BA527D">
        <w:t xml:space="preserve"> </w:t>
      </w:r>
    </w:p>
    <w:p w14:paraId="4697B885" w14:textId="6FEFC87C" w:rsidR="00D22277" w:rsidRDefault="000F2FE8" w:rsidP="00857FC3">
      <w:pPr>
        <w:rPr>
          <w:szCs w:val="24"/>
        </w:rPr>
      </w:pPr>
      <w:r w:rsidRPr="00FE7FA9">
        <w:rPr>
          <w:szCs w:val="24"/>
        </w:rPr>
        <w:t>AMSTERDAM</w:t>
      </w:r>
      <w:r w:rsidR="00032509" w:rsidRPr="00FE7FA9">
        <w:rPr>
          <w:szCs w:val="24"/>
        </w:rPr>
        <w:t xml:space="preserve">, </w:t>
      </w:r>
      <w:r w:rsidR="00597535">
        <w:rPr>
          <w:szCs w:val="24"/>
        </w:rPr>
        <w:t>February</w:t>
      </w:r>
      <w:r w:rsidR="00BC24AF">
        <w:rPr>
          <w:szCs w:val="24"/>
        </w:rPr>
        <w:t xml:space="preserve"> </w:t>
      </w:r>
      <w:r w:rsidR="007E45B2">
        <w:rPr>
          <w:szCs w:val="24"/>
        </w:rPr>
        <w:t>28</w:t>
      </w:r>
      <w:r w:rsidR="00C53697">
        <w:rPr>
          <w:szCs w:val="24"/>
        </w:rPr>
        <w:t>,</w:t>
      </w:r>
      <w:r w:rsidR="00271869" w:rsidRPr="00FE7FA9">
        <w:rPr>
          <w:szCs w:val="24"/>
        </w:rPr>
        <w:t xml:space="preserve"> 202</w:t>
      </w:r>
      <w:bookmarkEnd w:id="0"/>
      <w:r w:rsidR="008B180A">
        <w:rPr>
          <w:szCs w:val="24"/>
        </w:rPr>
        <w:t>4</w:t>
      </w:r>
      <w:r w:rsidR="00597535">
        <w:rPr>
          <w:szCs w:val="24"/>
        </w:rPr>
        <w:t xml:space="preserve"> - </w:t>
      </w:r>
      <w:r w:rsidR="00D2132D">
        <w:rPr>
          <w:szCs w:val="24"/>
        </w:rPr>
        <w:t>Stellantis N.V. (“Stellantis” or the “Company”) announced today that p</w:t>
      </w:r>
      <w:r w:rsidR="00D22277" w:rsidRPr="00D22277">
        <w:rPr>
          <w:szCs w:val="24"/>
        </w:rPr>
        <w:t xml:space="preserve">ursuant to </w:t>
      </w:r>
      <w:bookmarkStart w:id="1" w:name="_Hlk159923858"/>
      <w:r w:rsidR="00D2132D">
        <w:rPr>
          <w:szCs w:val="24"/>
        </w:rPr>
        <w:t>its</w:t>
      </w:r>
      <w:r w:rsidR="00D2132D" w:rsidRPr="00D22277">
        <w:rPr>
          <w:szCs w:val="24"/>
        </w:rPr>
        <w:t xml:space="preserve"> </w:t>
      </w:r>
      <w:r w:rsidR="00EF7EDA">
        <w:t>Share Buyback</w:t>
      </w:r>
      <w:r w:rsidR="00EF7EDA" w:rsidRPr="00D22277" w:rsidDel="00EF7EDA">
        <w:rPr>
          <w:szCs w:val="24"/>
        </w:rPr>
        <w:t xml:space="preserve"> </w:t>
      </w:r>
      <w:r w:rsidR="00D22277" w:rsidRPr="00D22277">
        <w:rPr>
          <w:szCs w:val="24"/>
        </w:rPr>
        <w:t>Program</w:t>
      </w:r>
      <w:bookmarkEnd w:id="1"/>
      <w:r w:rsidR="00D22277" w:rsidRPr="00D22277">
        <w:rPr>
          <w:szCs w:val="24"/>
        </w:rPr>
        <w:t xml:space="preserve"> </w:t>
      </w:r>
      <w:r w:rsidR="002B24B2">
        <w:rPr>
          <w:szCs w:val="24"/>
        </w:rPr>
        <w:t>(</w:t>
      </w:r>
      <w:r w:rsidR="0003503A">
        <w:rPr>
          <w:szCs w:val="24"/>
        </w:rPr>
        <w:t xml:space="preserve">or </w:t>
      </w:r>
      <w:r w:rsidR="002B24B2">
        <w:rPr>
          <w:szCs w:val="24"/>
        </w:rPr>
        <w:t xml:space="preserve">the “Program”) </w:t>
      </w:r>
      <w:r w:rsidR="00D22277" w:rsidRPr="00D22277">
        <w:rPr>
          <w:szCs w:val="24"/>
        </w:rPr>
        <w:t xml:space="preserve">announced on </w:t>
      </w:r>
      <w:r w:rsidR="00975CEA">
        <w:rPr>
          <w:szCs w:val="24"/>
        </w:rPr>
        <w:t xml:space="preserve">February </w:t>
      </w:r>
      <w:r w:rsidR="00597535">
        <w:rPr>
          <w:szCs w:val="24"/>
        </w:rPr>
        <w:t>15</w:t>
      </w:r>
      <w:r w:rsidR="002B24B2">
        <w:rPr>
          <w:szCs w:val="24"/>
        </w:rPr>
        <w:t>, 202</w:t>
      </w:r>
      <w:r w:rsidR="00597535">
        <w:rPr>
          <w:szCs w:val="24"/>
        </w:rPr>
        <w:t>4</w:t>
      </w:r>
      <w:r w:rsidR="00D22277" w:rsidRPr="00D22277">
        <w:rPr>
          <w:szCs w:val="24"/>
        </w:rPr>
        <w:t xml:space="preserve">, covering </w:t>
      </w:r>
      <w:r w:rsidR="00975CEA" w:rsidRPr="00857FC3">
        <w:rPr>
          <w:szCs w:val="24"/>
        </w:rPr>
        <w:t>up to €</w:t>
      </w:r>
      <w:r w:rsidR="00597535">
        <w:rPr>
          <w:szCs w:val="24"/>
        </w:rPr>
        <w:t>3</w:t>
      </w:r>
      <w:r w:rsidR="00975CEA" w:rsidRPr="00857FC3">
        <w:rPr>
          <w:szCs w:val="24"/>
        </w:rPr>
        <w:t xml:space="preserve"> billion (total purchase price excluding ancillary costs) to be executed </w:t>
      </w:r>
      <w:r w:rsidR="00244B95">
        <w:rPr>
          <w:szCs w:val="24"/>
        </w:rPr>
        <w:t>in the open market</w:t>
      </w:r>
      <w:r w:rsidR="00D22277" w:rsidRPr="00D22277">
        <w:rPr>
          <w:szCs w:val="24"/>
        </w:rPr>
        <w:t xml:space="preserve">, </w:t>
      </w:r>
      <w:r w:rsidR="00D22277">
        <w:rPr>
          <w:szCs w:val="24"/>
        </w:rPr>
        <w:t>Stellantis</w:t>
      </w:r>
      <w:r w:rsidR="00D22277" w:rsidRPr="00D22277">
        <w:rPr>
          <w:szCs w:val="24"/>
        </w:rPr>
        <w:t xml:space="preserve"> has signed a</w:t>
      </w:r>
      <w:r w:rsidR="009D728C">
        <w:rPr>
          <w:szCs w:val="24"/>
        </w:rPr>
        <w:t xml:space="preserve"> </w:t>
      </w:r>
      <w:r w:rsidR="00D22277" w:rsidRPr="00D22277">
        <w:rPr>
          <w:szCs w:val="24"/>
        </w:rPr>
        <w:t xml:space="preserve">share buyback agreement </w:t>
      </w:r>
      <w:r w:rsidR="00DF6493" w:rsidRPr="00DF6493">
        <w:rPr>
          <w:szCs w:val="24"/>
        </w:rPr>
        <w:t xml:space="preserve">for the first tranche of its Program </w:t>
      </w:r>
      <w:r w:rsidR="00D22277" w:rsidRPr="00D22277">
        <w:rPr>
          <w:szCs w:val="24"/>
        </w:rPr>
        <w:t xml:space="preserve">with an investment </w:t>
      </w:r>
      <w:r w:rsidR="002B7C39">
        <w:rPr>
          <w:szCs w:val="24"/>
        </w:rPr>
        <w:t xml:space="preserve">firm </w:t>
      </w:r>
      <w:r w:rsidR="002B7C39" w:rsidRPr="002B7C39">
        <w:rPr>
          <w:szCs w:val="24"/>
        </w:rPr>
        <w:t xml:space="preserve">that </w:t>
      </w:r>
      <w:r w:rsidR="00BF08B1">
        <w:rPr>
          <w:szCs w:val="24"/>
        </w:rPr>
        <w:t>will make</w:t>
      </w:r>
      <w:r w:rsidR="00BF08B1" w:rsidRPr="002B7C39">
        <w:rPr>
          <w:szCs w:val="24"/>
        </w:rPr>
        <w:t xml:space="preserve"> </w:t>
      </w:r>
      <w:r w:rsidR="002B7C39" w:rsidRPr="002B7C39">
        <w:rPr>
          <w:szCs w:val="24"/>
        </w:rPr>
        <w:t xml:space="preserve">its trading decisions concerning the timing of purchases independently of </w:t>
      </w:r>
      <w:r w:rsidR="002B7C39">
        <w:rPr>
          <w:szCs w:val="24"/>
        </w:rPr>
        <w:t>S</w:t>
      </w:r>
      <w:r w:rsidR="002B7C39" w:rsidRPr="002B7C39">
        <w:rPr>
          <w:szCs w:val="24"/>
        </w:rPr>
        <w:t>tellantis</w:t>
      </w:r>
      <w:r w:rsidR="00D22277">
        <w:rPr>
          <w:szCs w:val="24"/>
        </w:rPr>
        <w:t>.</w:t>
      </w:r>
    </w:p>
    <w:p w14:paraId="466D3690" w14:textId="19583174" w:rsidR="008B180A" w:rsidRDefault="008B180A" w:rsidP="00857FC3">
      <w:pPr>
        <w:rPr>
          <w:szCs w:val="24"/>
        </w:rPr>
      </w:pPr>
      <w:r w:rsidRPr="008B180A">
        <w:rPr>
          <w:szCs w:val="24"/>
        </w:rPr>
        <w:t>This agreement will cover a maximum amount of up to €1 billion</w:t>
      </w:r>
      <w:r w:rsidR="00DA4B11">
        <w:rPr>
          <w:szCs w:val="24"/>
        </w:rPr>
        <w:t xml:space="preserve"> (</w:t>
      </w:r>
      <w:r w:rsidR="00BF08B1">
        <w:rPr>
          <w:szCs w:val="24"/>
        </w:rPr>
        <w:t xml:space="preserve">of the </w:t>
      </w:r>
      <w:r w:rsidR="00DA4B11" w:rsidRPr="00DA4B11">
        <w:rPr>
          <w:szCs w:val="24"/>
        </w:rPr>
        <w:t>€3 billion Share Buyback Program</w:t>
      </w:r>
      <w:r w:rsidR="00DA4B11">
        <w:rPr>
          <w:szCs w:val="24"/>
        </w:rPr>
        <w:t>)</w:t>
      </w:r>
      <w:r w:rsidRPr="008B180A">
        <w:rPr>
          <w:szCs w:val="24"/>
        </w:rPr>
        <w:t xml:space="preserve">. The first tranche of the Program shall start on February 28, </w:t>
      </w:r>
      <w:proofErr w:type="gramStart"/>
      <w:r w:rsidRPr="008B180A">
        <w:rPr>
          <w:szCs w:val="24"/>
        </w:rPr>
        <w:t>2024</w:t>
      </w:r>
      <w:proofErr w:type="gramEnd"/>
      <w:r w:rsidRPr="008B180A">
        <w:rPr>
          <w:szCs w:val="24"/>
        </w:rPr>
        <w:t xml:space="preserve"> and end no later than </w:t>
      </w:r>
      <w:r w:rsidR="00AD4572">
        <w:rPr>
          <w:szCs w:val="24"/>
        </w:rPr>
        <w:t>June 5</w:t>
      </w:r>
      <w:r w:rsidRPr="008B180A">
        <w:rPr>
          <w:szCs w:val="24"/>
        </w:rPr>
        <w:t>, 2024.</w:t>
      </w:r>
    </w:p>
    <w:p w14:paraId="13B1DD2E" w14:textId="4B8BF8C0" w:rsidR="008B180A" w:rsidRDefault="008B180A" w:rsidP="00BF08B1">
      <w:pPr>
        <w:rPr>
          <w:szCs w:val="24"/>
        </w:rPr>
      </w:pPr>
      <w:r w:rsidRPr="008B180A">
        <w:rPr>
          <w:szCs w:val="24"/>
        </w:rPr>
        <w:t xml:space="preserve">The Company intends to cancel the common shares acquired through </w:t>
      </w:r>
      <w:r w:rsidR="0054149A">
        <w:rPr>
          <w:szCs w:val="24"/>
        </w:rPr>
        <w:t>its</w:t>
      </w:r>
      <w:r w:rsidR="0054149A" w:rsidRPr="00D22277">
        <w:rPr>
          <w:szCs w:val="24"/>
        </w:rPr>
        <w:t xml:space="preserve"> </w:t>
      </w:r>
      <w:bookmarkStart w:id="2" w:name="_Hlk159924530"/>
      <w:r w:rsidR="0054149A" w:rsidRPr="00DA4B11">
        <w:rPr>
          <w:szCs w:val="24"/>
        </w:rPr>
        <w:t xml:space="preserve">€3 billion </w:t>
      </w:r>
      <w:r w:rsidR="0054149A">
        <w:t>Share Buyback</w:t>
      </w:r>
      <w:r w:rsidR="0054149A" w:rsidRPr="00D22277" w:rsidDel="00EF7EDA">
        <w:rPr>
          <w:szCs w:val="24"/>
        </w:rPr>
        <w:t xml:space="preserve"> </w:t>
      </w:r>
      <w:r w:rsidR="0054149A" w:rsidRPr="00D22277">
        <w:rPr>
          <w:szCs w:val="24"/>
        </w:rPr>
        <w:t>Program</w:t>
      </w:r>
      <w:r w:rsidR="0054149A" w:rsidRPr="008B180A" w:rsidDel="0054149A">
        <w:rPr>
          <w:szCs w:val="24"/>
        </w:rPr>
        <w:t xml:space="preserve"> </w:t>
      </w:r>
      <w:bookmarkEnd w:id="2"/>
      <w:r w:rsidRPr="008B180A">
        <w:rPr>
          <w:szCs w:val="24"/>
        </w:rPr>
        <w:t xml:space="preserve">apart from a portion of up to </w:t>
      </w:r>
      <w:bookmarkStart w:id="3" w:name="_Hlk159924390"/>
      <w:r w:rsidRPr="008B180A">
        <w:rPr>
          <w:szCs w:val="24"/>
        </w:rPr>
        <w:t>€0.5 billion</w:t>
      </w:r>
      <w:bookmarkEnd w:id="3"/>
      <w:r w:rsidR="00BF08B1">
        <w:rPr>
          <w:szCs w:val="24"/>
        </w:rPr>
        <w:t xml:space="preserve">, which </w:t>
      </w:r>
      <w:r w:rsidRPr="008B180A">
        <w:rPr>
          <w:szCs w:val="24"/>
        </w:rPr>
        <w:t xml:space="preserve">will be utilized </w:t>
      </w:r>
      <w:r w:rsidR="00BF08B1">
        <w:rPr>
          <w:szCs w:val="24"/>
        </w:rPr>
        <w:t>to execute future employee stock purchase plan activities and equity-based compensation.</w:t>
      </w:r>
      <w:r w:rsidRPr="008B180A">
        <w:rPr>
          <w:szCs w:val="24"/>
        </w:rPr>
        <w:t xml:space="preserve"> This is intended to support the benefits of expanding and strengthening the ownership culture of our teams, while avoiding dilution of existing shareholders</w:t>
      </w:r>
      <w:r>
        <w:rPr>
          <w:szCs w:val="24"/>
        </w:rPr>
        <w:t>.</w:t>
      </w:r>
    </w:p>
    <w:p w14:paraId="1FB200AD" w14:textId="53D2B7BD" w:rsidR="00D22277" w:rsidRDefault="00BF08B1" w:rsidP="00CA363D">
      <w:pPr>
        <w:rPr>
          <w:szCs w:val="24"/>
        </w:rPr>
      </w:pPr>
      <w:r>
        <w:rPr>
          <w:szCs w:val="24"/>
        </w:rPr>
        <w:t>The</w:t>
      </w:r>
      <w:r w:rsidRPr="009D728C">
        <w:rPr>
          <w:szCs w:val="24"/>
        </w:rPr>
        <w:t xml:space="preserve"> </w:t>
      </w:r>
      <w:r w:rsidR="00244B95">
        <w:rPr>
          <w:szCs w:val="24"/>
        </w:rPr>
        <w:t>buyback</w:t>
      </w:r>
      <w:r w:rsidR="00244B95" w:rsidRPr="009D728C">
        <w:rPr>
          <w:szCs w:val="24"/>
        </w:rPr>
        <w:t xml:space="preserve"> </w:t>
      </w:r>
      <w:r w:rsidR="009D728C" w:rsidRPr="009D728C">
        <w:rPr>
          <w:szCs w:val="24"/>
        </w:rPr>
        <w:t xml:space="preserve">of </w:t>
      </w:r>
      <w:r w:rsidR="002B24B2">
        <w:rPr>
          <w:szCs w:val="24"/>
        </w:rPr>
        <w:t>common shares</w:t>
      </w:r>
      <w:r w:rsidR="002B24B2" w:rsidRPr="009D728C">
        <w:rPr>
          <w:szCs w:val="24"/>
        </w:rPr>
        <w:t xml:space="preserve"> </w:t>
      </w:r>
      <w:r w:rsidR="009D728C" w:rsidRPr="009D728C">
        <w:rPr>
          <w:szCs w:val="24"/>
        </w:rPr>
        <w:t xml:space="preserve">in relation to this announcement will be carried out </w:t>
      </w:r>
      <w:r w:rsidR="00857FC3" w:rsidRPr="00857FC3">
        <w:rPr>
          <w:szCs w:val="24"/>
        </w:rPr>
        <w:t>under the authority granted by the general meeting of shareholders held on April 13, 202</w:t>
      </w:r>
      <w:r w:rsidR="00DA4F73">
        <w:rPr>
          <w:szCs w:val="24"/>
        </w:rPr>
        <w:t>3</w:t>
      </w:r>
      <w:r w:rsidR="00857FC3" w:rsidRPr="00857FC3">
        <w:rPr>
          <w:szCs w:val="24"/>
        </w:rPr>
        <w:t>, up to a maximum of 10% of the Company’s capital</w:t>
      </w:r>
      <w:r w:rsidR="00EF7EDA" w:rsidRPr="00857FC3">
        <w:rPr>
          <w:szCs w:val="24"/>
        </w:rPr>
        <w:t xml:space="preserve">, </w:t>
      </w:r>
      <w:r w:rsidR="00EF7EDA">
        <w:rPr>
          <w:szCs w:val="24"/>
        </w:rPr>
        <w:t xml:space="preserve">or any </w:t>
      </w:r>
      <w:r w:rsidR="00EF7EDA" w:rsidRPr="00857FC3">
        <w:rPr>
          <w:szCs w:val="24"/>
        </w:rPr>
        <w:t>renewed or extended</w:t>
      </w:r>
      <w:r w:rsidR="00EF7EDA">
        <w:rPr>
          <w:szCs w:val="24"/>
        </w:rPr>
        <w:t xml:space="preserve"> authorization to be granted at a future general meeting of the Company</w:t>
      </w:r>
      <w:r w:rsidR="00857FC3" w:rsidRPr="00857FC3">
        <w:rPr>
          <w:szCs w:val="24"/>
        </w:rPr>
        <w:t xml:space="preserve">. The purchase price per common share will be no higher than an amount equal to 110% of the market price of the shares on the NYSE, Euronext </w:t>
      </w:r>
      <w:proofErr w:type="gramStart"/>
      <w:r w:rsidR="00857FC3" w:rsidRPr="00857FC3">
        <w:rPr>
          <w:szCs w:val="24"/>
        </w:rPr>
        <w:t>Milan</w:t>
      </w:r>
      <w:proofErr w:type="gramEnd"/>
      <w:r w:rsidR="00857FC3" w:rsidRPr="00857FC3">
        <w:rPr>
          <w:szCs w:val="24"/>
        </w:rPr>
        <w:t xml:space="preserve"> or Euronext Paris. The market price will be calculated as the average of the highest price on each of the five days of trading prior to the date on which the acquisition is made, as shown in the official price list of the NYSE, Euronext </w:t>
      </w:r>
      <w:proofErr w:type="gramStart"/>
      <w:r w:rsidR="00857FC3" w:rsidRPr="00857FC3">
        <w:rPr>
          <w:szCs w:val="24"/>
        </w:rPr>
        <w:t>Milan</w:t>
      </w:r>
      <w:proofErr w:type="gramEnd"/>
      <w:r w:rsidR="00857FC3" w:rsidRPr="00857FC3">
        <w:rPr>
          <w:szCs w:val="24"/>
        </w:rPr>
        <w:t xml:space="preserve"> or Euronext Paris. </w:t>
      </w:r>
      <w:r w:rsidR="00CA363D" w:rsidRPr="00CA363D">
        <w:rPr>
          <w:szCs w:val="24"/>
        </w:rPr>
        <w:t xml:space="preserve">The </w:t>
      </w:r>
      <w:r w:rsidR="00CA363D">
        <w:rPr>
          <w:szCs w:val="24"/>
        </w:rPr>
        <w:t xml:space="preserve">share </w:t>
      </w:r>
      <w:r w:rsidR="00CA363D" w:rsidRPr="00CA363D">
        <w:rPr>
          <w:szCs w:val="24"/>
        </w:rPr>
        <w:t xml:space="preserve">buybacks will be carried out subject to market conditions and in compliance with applicable rules and </w:t>
      </w:r>
      <w:r w:rsidR="00CA363D" w:rsidRPr="00CA363D">
        <w:rPr>
          <w:szCs w:val="24"/>
        </w:rPr>
        <w:lastRenderedPageBreak/>
        <w:t>regulations, including the Market Abuse Regulation 596/2014 and the Commission Delegated Regulation (EU) 2016/1052</w:t>
      </w:r>
      <w:r w:rsidR="00CA363D">
        <w:rPr>
          <w:szCs w:val="24"/>
        </w:rPr>
        <w:t>.</w:t>
      </w:r>
    </w:p>
    <w:p w14:paraId="1108244A" w14:textId="7B591909" w:rsidR="00857FC3" w:rsidRDefault="00DA4F73" w:rsidP="00857FC3">
      <w:pPr>
        <w:rPr>
          <w:szCs w:val="24"/>
        </w:rPr>
      </w:pPr>
      <w:r w:rsidRPr="00DA4F73">
        <w:rPr>
          <w:szCs w:val="24"/>
        </w:rPr>
        <w:t xml:space="preserve">As of </w:t>
      </w:r>
      <w:r>
        <w:rPr>
          <w:szCs w:val="24"/>
        </w:rPr>
        <w:t>today</w:t>
      </w:r>
      <w:r w:rsidRPr="00DA4F73">
        <w:rPr>
          <w:szCs w:val="24"/>
        </w:rPr>
        <w:t xml:space="preserve">, the remaining authorization stands at approximately </w:t>
      </w:r>
      <w:r w:rsidRPr="00DA4B11">
        <w:rPr>
          <w:szCs w:val="24"/>
        </w:rPr>
        <w:t>18</w:t>
      </w:r>
      <w:r w:rsidR="00DA4B11" w:rsidRPr="00DA4B11">
        <w:rPr>
          <w:szCs w:val="24"/>
        </w:rPr>
        <w:t>1</w:t>
      </w:r>
      <w:r w:rsidRPr="00DA4F73">
        <w:rPr>
          <w:szCs w:val="24"/>
        </w:rPr>
        <w:t xml:space="preserve"> million shares </w:t>
      </w:r>
      <w:r>
        <w:rPr>
          <w:szCs w:val="24"/>
        </w:rPr>
        <w:t xml:space="preserve">and </w:t>
      </w:r>
      <w:r w:rsidRPr="00DA4F73">
        <w:rPr>
          <w:szCs w:val="24"/>
        </w:rPr>
        <w:t>the Company held in treasury a total of 142,090,297 common shares equal to 3.52% of the total issued share capital including common shares and special voting shares</w:t>
      </w:r>
      <w:r>
        <w:rPr>
          <w:szCs w:val="24"/>
        </w:rPr>
        <w:t>.</w:t>
      </w:r>
    </w:p>
    <w:p w14:paraId="71338CF7" w14:textId="5A135EA2" w:rsidR="000C24E1" w:rsidRDefault="007E72E8" w:rsidP="0026471E">
      <w:pPr>
        <w:jc w:val="center"/>
      </w:pPr>
      <w:r>
        <w:t>###</w:t>
      </w:r>
    </w:p>
    <w:p w14:paraId="6074CB32" w14:textId="77777777" w:rsidR="00045E1F" w:rsidRPr="0026471E" w:rsidRDefault="00045E1F" w:rsidP="0026471E">
      <w:pPr>
        <w:jc w:val="cen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7" w:type="dxa"/>
        </w:tblCellMar>
        <w:tblLook w:val="04A0" w:firstRow="1" w:lastRow="0" w:firstColumn="1" w:lastColumn="0" w:noHBand="0" w:noVBand="1"/>
      </w:tblPr>
      <w:tblGrid>
        <w:gridCol w:w="8386"/>
      </w:tblGrid>
      <w:tr w:rsidR="001E6C1E" w:rsidRPr="00896F71" w14:paraId="3F9E34AD" w14:textId="77777777" w:rsidTr="0023542B">
        <w:trPr>
          <w:trHeight w:val="2043"/>
        </w:trPr>
        <w:tc>
          <w:tcPr>
            <w:tcW w:w="8364" w:type="dxa"/>
          </w:tcPr>
          <w:p w14:paraId="1906CDEC" w14:textId="77777777" w:rsidR="00045E1F" w:rsidRPr="00C970C9" w:rsidRDefault="00045E1F" w:rsidP="00E721CB">
            <w:pPr>
              <w:pStyle w:val="SSubtitle"/>
              <w:spacing w:before="0" w:after="360"/>
              <w:ind w:right="1454"/>
              <w:rPr>
                <w:lang w:val="en-US"/>
              </w:rPr>
            </w:pPr>
            <w:bookmarkStart w:id="4" w:name="_Hlk127889686"/>
            <w:r w:rsidRPr="00AE0E14">
              <w:rPr>
                <w:lang w:val="en-US"/>
              </w:rPr>
              <w:t>About Stellantis</w:t>
            </w:r>
          </w:p>
          <w:p w14:paraId="351690A8" w14:textId="4E7A34DE" w:rsidR="00045E1F" w:rsidRPr="004752A6" w:rsidRDefault="00E721CB" w:rsidP="00045E1F">
            <w:pPr>
              <w:pStyle w:val="STextitalic"/>
              <w:rPr>
                <w:lang w:val="en-US"/>
              </w:rPr>
            </w:pPr>
            <w:r>
              <w:rPr>
                <w:noProof/>
                <w:color w:val="243782" w:themeColor="text2"/>
                <w:sz w:val="22"/>
                <w:szCs w:val="22"/>
              </w:rPr>
              <w:drawing>
                <wp:anchor distT="0" distB="0" distL="114300" distR="114300" simplePos="0" relativeHeight="251667456" behindDoc="0" locked="0" layoutInCell="1" allowOverlap="1" wp14:anchorId="3F564071" wp14:editId="7FCD1F39">
                  <wp:simplePos x="0" y="0"/>
                  <wp:positionH relativeFrom="column">
                    <wp:posOffset>33020</wp:posOffset>
                  </wp:positionH>
                  <wp:positionV relativeFrom="paragraph">
                    <wp:posOffset>2213610</wp:posOffset>
                  </wp:positionV>
                  <wp:extent cx="291465" cy="291465"/>
                  <wp:effectExtent l="0" t="0" r="0" b="0"/>
                  <wp:wrapNone/>
                  <wp:docPr id="19" name="Picture 19"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7"/>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r w:rsidRPr="006279C9">
              <w:rPr>
                <w:noProof/>
                <w:color w:val="243782" w:themeColor="text2"/>
                <w:sz w:val="22"/>
                <w:szCs w:val="22"/>
                <w:lang w:eastAsia="fr-FR"/>
              </w:rPr>
              <w:drawing>
                <wp:anchor distT="0" distB="0" distL="114300" distR="114300" simplePos="0" relativeHeight="251666432" behindDoc="0" locked="0" layoutInCell="1" allowOverlap="1" wp14:anchorId="2785B1DF" wp14:editId="7B53A63D">
                  <wp:simplePos x="0" y="0"/>
                  <wp:positionH relativeFrom="column">
                    <wp:posOffset>4179570</wp:posOffset>
                  </wp:positionH>
                  <wp:positionV relativeFrom="paragraph">
                    <wp:posOffset>2225675</wp:posOffset>
                  </wp:positionV>
                  <wp:extent cx="303530" cy="292735"/>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E1F" w:rsidRPr="00A07129">
              <w:rPr>
                <w:lang w:val="en-US"/>
              </w:rPr>
              <w:t>Stellantis N.V. (NYSE: STLA</w:t>
            </w:r>
            <w:r w:rsidR="00045E1F">
              <w:rPr>
                <w:lang w:val="en-US"/>
              </w:rPr>
              <w:t xml:space="preserve"> </w:t>
            </w:r>
            <w:r w:rsidR="00045E1F" w:rsidRPr="00A07129">
              <w:rPr>
                <w:lang w:val="en-US"/>
              </w:rPr>
              <w:t>/ Euronext Milan: STLAM</w:t>
            </w:r>
            <w:r w:rsidR="00045E1F">
              <w:rPr>
                <w:lang w:val="en-US"/>
              </w:rPr>
              <w:t xml:space="preserve"> </w:t>
            </w:r>
            <w:r w:rsidR="00045E1F" w:rsidRPr="00A07129">
              <w:rPr>
                <w:lang w:val="en-US"/>
              </w:rPr>
              <w:t xml:space="preserve">/ Euronext Paris: STLAP) is one of the world’s leading automakers aiming to provide clean, </w:t>
            </w:r>
            <w:proofErr w:type="gramStart"/>
            <w:r w:rsidR="00045E1F" w:rsidRPr="00A07129">
              <w:rPr>
                <w:lang w:val="en-US"/>
              </w:rPr>
              <w:t>safe</w:t>
            </w:r>
            <w:proofErr w:type="gramEnd"/>
            <w:r w:rsidR="00045E1F" w:rsidRPr="00A07129">
              <w:rPr>
                <w:lang w:val="en-US"/>
              </w:rPr>
              <w:t xml:space="preserve"> and affordable freedom of mobility to all. It’s best known for its unique portfolio of iconic and innovative brands including Abarth, Alfa Romeo, Chrysler, Citroën, Dodge, DS Automobiles, Fiat, Jeep</w:t>
            </w:r>
            <w:r w:rsidR="00045E1F" w:rsidRPr="00332D02">
              <w:rPr>
                <w:vertAlign w:val="subscript"/>
                <w:lang w:val="en-US"/>
              </w:rPr>
              <w:t>®</w:t>
            </w:r>
            <w:r w:rsidR="00045E1F" w:rsidRPr="00A07129">
              <w:rPr>
                <w:lang w:val="en-US"/>
              </w:rPr>
              <w:t xml:space="preserve">, Lancia, Maserati, Opel, Peugeot, Ram, Vauxhall, Free2move and </w:t>
            </w:r>
            <w:proofErr w:type="spellStart"/>
            <w:r w:rsidR="00045E1F" w:rsidRPr="00A07129">
              <w:rPr>
                <w:lang w:val="en-US"/>
              </w:rPr>
              <w:t>Leasys</w:t>
            </w:r>
            <w:proofErr w:type="spellEnd"/>
            <w:r w:rsidR="00045E1F" w:rsidRPr="00A07129">
              <w:rPr>
                <w:lang w:val="en-US"/>
              </w:rPr>
              <w:t>. Stellantis is executing its Dare Forward 2030, a bold strategic plan that paves the way to achieve the ambitious target of becoming a carbon net zero mobility tech company by 2038</w:t>
            </w:r>
            <w:r w:rsidR="00045E1F" w:rsidRPr="001F2BDD">
              <w:rPr>
                <w:lang w:val="en-US"/>
              </w:rPr>
              <w:t>, with single-digit percentage compensation of the remaining emissions</w:t>
            </w:r>
            <w:r w:rsidR="00045E1F" w:rsidRPr="00A07129">
              <w:rPr>
                <w:lang w:val="en-US"/>
              </w:rPr>
              <w:t xml:space="preserve">, while creating added value for all stakeholders. </w:t>
            </w:r>
            <w:r w:rsidR="00045E1F" w:rsidRPr="004752A6">
              <w:rPr>
                <w:lang w:val="en-US"/>
              </w:rPr>
              <w:t xml:space="preserve">For more information, visit </w:t>
            </w:r>
            <w:hyperlink r:id="rId9" w:history="1">
              <w:r w:rsidR="00045E1F" w:rsidRPr="004752A6">
                <w:rPr>
                  <w:rStyle w:val="Hyperlink"/>
                  <w:u w:val="single"/>
                  <w:lang w:val="en-US"/>
                </w:rPr>
                <w:t>www.stellantis.com</w:t>
              </w:r>
            </w:hyperlink>
            <w:r w:rsidR="00045E1F" w:rsidRPr="004752A6">
              <w:rPr>
                <w:rStyle w:val="Hyperlink"/>
                <w:u w:val="single"/>
                <w:lang w:val="en-US"/>
              </w:rPr>
              <w:t>.</w:t>
            </w:r>
          </w:p>
          <w:tbl>
            <w:tblPr>
              <w:tblStyle w:val="TableGrid"/>
              <w:tblW w:w="8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4"/>
              <w:gridCol w:w="1736"/>
              <w:gridCol w:w="540"/>
              <w:gridCol w:w="1710"/>
              <w:gridCol w:w="540"/>
              <w:gridCol w:w="1440"/>
              <w:gridCol w:w="540"/>
              <w:gridCol w:w="1692"/>
            </w:tblGrid>
            <w:tr w:rsidR="00045E1F" w:rsidRPr="006279C9" w14:paraId="26D891EE" w14:textId="77777777" w:rsidTr="00E721CB">
              <w:trPr>
                <w:trHeight w:val="729"/>
              </w:trPr>
              <w:tc>
                <w:tcPr>
                  <w:tcW w:w="604" w:type="dxa"/>
                  <w:vAlign w:val="center"/>
                </w:tcPr>
                <w:p w14:paraId="3DB8402B" w14:textId="0C590750" w:rsidR="00045E1F" w:rsidRPr="006279C9" w:rsidRDefault="00045E1F" w:rsidP="00045E1F">
                  <w:pPr>
                    <w:spacing w:after="0"/>
                    <w:jc w:val="left"/>
                    <w:rPr>
                      <w:color w:val="243782" w:themeColor="text2"/>
                      <w:sz w:val="22"/>
                      <w:szCs w:val="22"/>
                    </w:rPr>
                  </w:pPr>
                </w:p>
              </w:tc>
              <w:tc>
                <w:tcPr>
                  <w:tcW w:w="1736" w:type="dxa"/>
                </w:tcPr>
                <w:p w14:paraId="608281DE" w14:textId="77777777" w:rsidR="00045E1F" w:rsidRPr="006279C9" w:rsidRDefault="00045E1F" w:rsidP="00045E1F">
                  <w:pPr>
                    <w:spacing w:before="120" w:after="0"/>
                    <w:jc w:val="left"/>
                    <w:rPr>
                      <w:color w:val="243782" w:themeColor="text2"/>
                      <w:sz w:val="22"/>
                      <w:szCs w:val="22"/>
                    </w:rPr>
                  </w:pPr>
                  <w:r w:rsidRPr="006279C9">
                    <w:rPr>
                      <w:color w:val="243782" w:themeColor="text2"/>
                      <w:sz w:val="22"/>
                      <w:szCs w:val="22"/>
                    </w:rPr>
                    <w:t>@Stellantis</w:t>
                  </w:r>
                </w:p>
              </w:tc>
              <w:tc>
                <w:tcPr>
                  <w:tcW w:w="540" w:type="dxa"/>
                  <w:vAlign w:val="center"/>
                </w:tcPr>
                <w:p w14:paraId="09BD1019" w14:textId="77777777" w:rsidR="00045E1F" w:rsidRPr="006279C9" w:rsidRDefault="00045E1F" w:rsidP="00045E1F">
                  <w:pPr>
                    <w:spacing w:after="0"/>
                    <w:jc w:val="left"/>
                    <w:rPr>
                      <w:color w:val="243782" w:themeColor="text2"/>
                      <w:sz w:val="22"/>
                      <w:szCs w:val="22"/>
                    </w:rPr>
                  </w:pPr>
                  <w:r>
                    <w:rPr>
                      <w:noProof/>
                    </w:rPr>
                    <w:drawing>
                      <wp:anchor distT="0" distB="0" distL="114300" distR="114300" simplePos="0" relativeHeight="251668480" behindDoc="0" locked="0" layoutInCell="1" allowOverlap="1" wp14:anchorId="073EB4CC" wp14:editId="0BAABDAB">
                        <wp:simplePos x="0" y="0"/>
                        <wp:positionH relativeFrom="column">
                          <wp:posOffset>17145</wp:posOffset>
                        </wp:positionH>
                        <wp:positionV relativeFrom="paragraph">
                          <wp:posOffset>-172720</wp:posOffset>
                        </wp:positionV>
                        <wp:extent cx="291465" cy="291465"/>
                        <wp:effectExtent l="0" t="0" r="0" b="0"/>
                        <wp:wrapNone/>
                        <wp:docPr id="20" name="Picture 20"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0"/>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710" w:type="dxa"/>
                </w:tcPr>
                <w:p w14:paraId="351F3885" w14:textId="1DBDB5C7" w:rsidR="00045E1F" w:rsidRPr="006279C9" w:rsidRDefault="00045E1F" w:rsidP="00045E1F">
                  <w:pPr>
                    <w:spacing w:before="120" w:after="0"/>
                    <w:jc w:val="left"/>
                    <w:rPr>
                      <w:color w:val="243782" w:themeColor="text2"/>
                      <w:sz w:val="22"/>
                      <w:szCs w:val="22"/>
                    </w:rPr>
                  </w:pPr>
                  <w:r w:rsidRPr="006279C9">
                    <w:rPr>
                      <w:color w:val="243782" w:themeColor="text2"/>
                      <w:sz w:val="22"/>
                      <w:szCs w:val="22"/>
                    </w:rPr>
                    <w:t>Stellantis</w:t>
                  </w:r>
                </w:p>
              </w:tc>
              <w:tc>
                <w:tcPr>
                  <w:tcW w:w="540" w:type="dxa"/>
                  <w:vAlign w:val="center"/>
                </w:tcPr>
                <w:p w14:paraId="09C80AF4" w14:textId="11F36126" w:rsidR="00045E1F" w:rsidRPr="006279C9" w:rsidRDefault="00E721CB" w:rsidP="00045E1F">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5408" behindDoc="0" locked="0" layoutInCell="1" allowOverlap="1" wp14:anchorId="303B0E82" wp14:editId="3FF0A51C">
                        <wp:simplePos x="0" y="0"/>
                        <wp:positionH relativeFrom="column">
                          <wp:posOffset>1270</wp:posOffset>
                        </wp:positionH>
                        <wp:positionV relativeFrom="paragraph">
                          <wp:posOffset>-169545</wp:posOffset>
                        </wp:positionV>
                        <wp:extent cx="292100" cy="2927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40" w:type="dxa"/>
                </w:tcPr>
                <w:p w14:paraId="5A58F4CD" w14:textId="77777777" w:rsidR="00045E1F" w:rsidRPr="006279C9" w:rsidRDefault="00045E1F" w:rsidP="00045E1F">
                  <w:pPr>
                    <w:spacing w:before="120" w:after="0"/>
                    <w:jc w:val="left"/>
                    <w:rPr>
                      <w:color w:val="243782" w:themeColor="text2"/>
                      <w:sz w:val="22"/>
                      <w:szCs w:val="22"/>
                    </w:rPr>
                  </w:pPr>
                  <w:r w:rsidRPr="006279C9">
                    <w:rPr>
                      <w:color w:val="243782" w:themeColor="text2"/>
                      <w:sz w:val="22"/>
                      <w:szCs w:val="22"/>
                    </w:rPr>
                    <w:t>Stellantis</w:t>
                  </w:r>
                </w:p>
              </w:tc>
              <w:tc>
                <w:tcPr>
                  <w:tcW w:w="540" w:type="dxa"/>
                  <w:vAlign w:val="center"/>
                </w:tcPr>
                <w:p w14:paraId="21B44539" w14:textId="448A3C41" w:rsidR="00045E1F" w:rsidRPr="006279C9" w:rsidRDefault="00045E1F" w:rsidP="00045E1F">
                  <w:pPr>
                    <w:spacing w:after="0"/>
                    <w:jc w:val="left"/>
                    <w:rPr>
                      <w:color w:val="243782" w:themeColor="text2"/>
                      <w:sz w:val="22"/>
                      <w:szCs w:val="22"/>
                    </w:rPr>
                  </w:pPr>
                </w:p>
              </w:tc>
              <w:tc>
                <w:tcPr>
                  <w:tcW w:w="1692" w:type="dxa"/>
                </w:tcPr>
                <w:p w14:paraId="1BD07300" w14:textId="77777777" w:rsidR="00045E1F" w:rsidRPr="006279C9" w:rsidRDefault="00045E1F" w:rsidP="00045E1F">
                  <w:pPr>
                    <w:spacing w:before="120" w:after="0"/>
                    <w:jc w:val="left"/>
                    <w:rPr>
                      <w:color w:val="243782" w:themeColor="text2"/>
                      <w:sz w:val="22"/>
                      <w:szCs w:val="22"/>
                    </w:rPr>
                  </w:pPr>
                  <w:r w:rsidRPr="006279C9">
                    <w:rPr>
                      <w:color w:val="243782" w:themeColor="text2"/>
                      <w:sz w:val="22"/>
                      <w:szCs w:val="22"/>
                    </w:rPr>
                    <w:t>Stellantis</w:t>
                  </w:r>
                </w:p>
              </w:tc>
            </w:tr>
          </w:tbl>
          <w:p w14:paraId="5D632383" w14:textId="7A7EC251" w:rsidR="00045E1F" w:rsidRDefault="00045E1F" w:rsidP="00045E1F">
            <w:pPr>
              <w:pStyle w:val="SDatePlace"/>
              <w:rPr>
                <w:b/>
                <w:color w:val="243782" w:themeColor="accent1"/>
                <w:sz w:val="22"/>
              </w:rPr>
            </w:pPr>
          </w:p>
          <w:p w14:paraId="361758C1" w14:textId="77777777" w:rsidR="001E6C1E" w:rsidRDefault="001E6C1E" w:rsidP="00F903F7">
            <w:r w:rsidRPr="0086416D">
              <w:rPr>
                <w:noProof/>
              </w:rPr>
              <mc:AlternateContent>
                <mc:Choice Requires="wps">
                  <w:drawing>
                    <wp:inline distT="0" distB="0" distL="0" distR="0" wp14:anchorId="673808A6" wp14:editId="6BB0ABE2">
                      <wp:extent cx="432000" cy="61913"/>
                      <wp:effectExtent l="0" t="0" r="6350" b="0"/>
                      <wp:docPr id="1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263D1F81"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38B4AE11" w14:textId="77777777" w:rsidR="001E6C1E" w:rsidRPr="007819D6" w:rsidRDefault="001E6C1E" w:rsidP="007819D6">
            <w:pPr>
              <w:pStyle w:val="SContact-Title"/>
            </w:pPr>
            <w:bookmarkStart w:id="5" w:name="_Hlk61784883"/>
            <w:r w:rsidRPr="0085397B">
              <w:t>For more information</w:t>
            </w:r>
            <w:r>
              <w:t>,</w:t>
            </w:r>
            <w:r w:rsidRPr="0085397B">
              <w:t xml:space="preserve"> contact:</w:t>
            </w:r>
          </w:p>
          <w:bookmarkStart w:id="6" w:name="_Hlk97712922" w:displacedByCustomXml="next"/>
          <w:sdt>
            <w:sdtPr>
              <w:rPr>
                <w:sz w:val="20"/>
              </w:rPr>
              <w:id w:val="143632974"/>
              <w:placeholder>
                <w:docPart w:val="E13664CCD2AD4979B4C83BA5335883C9"/>
              </w:placeholder>
            </w:sdtPr>
            <w:sdtEndPr/>
            <w:sdtContent>
              <w:p w14:paraId="0A2AC9C4" w14:textId="77777777" w:rsidR="00FE7FA9" w:rsidRPr="00977537" w:rsidRDefault="00262A2A" w:rsidP="00FE7FA9">
                <w:pPr>
                  <w:pStyle w:val="SContact-Sendersinfo"/>
                </w:pPr>
                <w:sdt>
                  <w:sdtPr>
                    <w:rPr>
                      <w:sz w:val="20"/>
                      <w:szCs w:val="20"/>
                    </w:rPr>
                    <w:id w:val="-1719962335"/>
                    <w:placeholder>
                      <w:docPart w:val="B9277BC0B15E4B79AE7945F7C624CE25"/>
                    </w:placeholder>
                  </w:sdtPr>
                  <w:sdtEndPr/>
                  <w:sdtContent>
                    <w:proofErr w:type="spellStart"/>
                    <w:r w:rsidR="00FE7FA9" w:rsidRPr="00977537">
                      <w:rPr>
                        <w:sz w:val="20"/>
                        <w:szCs w:val="20"/>
                      </w:rPr>
                      <w:t>Fernão</w:t>
                    </w:r>
                    <w:proofErr w:type="spellEnd"/>
                    <w:r w:rsidR="00FE7FA9" w:rsidRPr="00977537">
                      <w:rPr>
                        <w:sz w:val="20"/>
                        <w:szCs w:val="20"/>
                      </w:rPr>
                      <w:t xml:space="preserve"> </w:t>
                    </w:r>
                    <w:sdt>
                      <w:sdtPr>
                        <w:rPr>
                          <w:sz w:val="20"/>
                          <w:szCs w:val="20"/>
                        </w:rPr>
                        <w:id w:val="743996128"/>
                        <w:placeholder>
                          <w:docPart w:val="1DCAEABB28964B54A3E1E1C601EAF8CA"/>
                        </w:placeholder>
                      </w:sdtPr>
                      <w:sdtEndPr/>
                      <w:sdtContent>
                        <w:sdt>
                          <w:sdtPr>
                            <w:rPr>
                              <w:sz w:val="20"/>
                              <w:szCs w:val="20"/>
                            </w:rPr>
                            <w:id w:val="1175080926"/>
                            <w:placeholder>
                              <w:docPart w:val="BFCEA3D012E8484C910784CA596FFF9D"/>
                            </w:placeholder>
                          </w:sdtPr>
                          <w:sdtEndPr/>
                          <w:sdtContent>
                            <w:r w:rsidR="00FE7FA9" w:rsidRPr="00977537">
                              <w:rPr>
                                <w:sz w:val="20"/>
                                <w:szCs w:val="20"/>
                              </w:rPr>
                              <w:t>SILVEIRA</w:t>
                            </w:r>
                          </w:sdtContent>
                        </w:sdt>
                      </w:sdtContent>
                    </w:sdt>
                    <w:r w:rsidR="00FE7FA9" w:rsidRPr="00977537">
                      <w:rPr>
                        <w:sz w:val="20"/>
                        <w:szCs w:val="20"/>
                      </w:rPr>
                      <w:t xml:space="preserve"> </w:t>
                    </w:r>
                    <w:sdt>
                      <w:sdtPr>
                        <w:rPr>
                          <w:rFonts w:ascii="Encode Sans ExpandedLight" w:hAnsi="Encode Sans ExpandedLight"/>
                          <w:sz w:val="20"/>
                          <w:szCs w:val="20"/>
                        </w:rPr>
                        <w:id w:val="983514247"/>
                        <w:placeholder>
                          <w:docPart w:val="9A5E45F05C364957A6B992BFAC604BCA"/>
                        </w:placeholder>
                      </w:sdtPr>
                      <w:sdtEndPr/>
                      <w:sdtContent>
                        <w:r w:rsidR="00FE7FA9" w:rsidRPr="00977537">
                          <w:rPr>
                            <w:rFonts w:ascii="Encode Sans ExpandedLight" w:hAnsi="Encode Sans ExpandedLight"/>
                            <w:sz w:val="20"/>
                            <w:szCs w:val="20"/>
                          </w:rPr>
                          <w:t>+31 6 43 25 43 41 – fernao.silveira@stellantis.com</w:t>
                        </w:r>
                      </w:sdtContent>
                    </w:sdt>
                  </w:sdtContent>
                </w:sdt>
              </w:p>
            </w:sdtContent>
          </w:sdt>
          <w:bookmarkEnd w:id="6"/>
          <w:p w14:paraId="6B052661" w14:textId="6BDBFD44" w:rsidR="001E6C1E" w:rsidRPr="00830EC0" w:rsidRDefault="00B862DF" w:rsidP="000F2FE8">
            <w:pPr>
              <w:pStyle w:val="SFooter-Emailwebsite"/>
            </w:pPr>
            <w:r>
              <w:fldChar w:fldCharType="begin"/>
            </w:r>
            <w:r w:rsidRPr="00830EC0">
              <w:instrText xml:space="preserve"> HYPERLINK "mailto:communications@stellantis.com" </w:instrText>
            </w:r>
            <w:r>
              <w:fldChar w:fldCharType="separate"/>
            </w:r>
            <w:r w:rsidR="00FB502F" w:rsidRPr="00830EC0">
              <w:rPr>
                <w:rStyle w:val="Hyperlink"/>
              </w:rPr>
              <w:t>communications@stellantis.com</w:t>
            </w:r>
            <w:r>
              <w:rPr>
                <w:rStyle w:val="Hyperlink"/>
                <w:lang w:val="it-IT"/>
              </w:rPr>
              <w:fldChar w:fldCharType="end"/>
            </w:r>
            <w:r w:rsidR="001E6C1E" w:rsidRPr="00830EC0">
              <w:br/>
              <w:t>www.stellantis.com</w:t>
            </w:r>
            <w:bookmarkEnd w:id="5"/>
          </w:p>
        </w:tc>
      </w:tr>
    </w:tbl>
    <w:bookmarkEnd w:id="4"/>
    <w:p w14:paraId="5DDA7FD1" w14:textId="558B530B" w:rsidR="00830EC0" w:rsidRDefault="00830EC0" w:rsidP="00830EC0">
      <w:pPr>
        <w:pStyle w:val="STITLE"/>
      </w:pPr>
      <w:r>
        <w:t>FORWARD-LOOKING STATEMENTS</w:t>
      </w:r>
    </w:p>
    <w:p w14:paraId="22665F8D" w14:textId="6F7E264E" w:rsidR="00830EC0" w:rsidRPr="00972870" w:rsidRDefault="00830EC0" w:rsidP="00830EC0">
      <w:pPr>
        <w:spacing w:before="240"/>
        <w:rPr>
          <w:rFonts w:eastAsia="Encode Sans"/>
          <w:i/>
          <w:sz w:val="18"/>
          <w:szCs w:val="18"/>
        </w:rPr>
      </w:pPr>
      <w:r w:rsidRPr="00972870">
        <w:rPr>
          <w:rFonts w:eastAsia="Encode Sans"/>
          <w:i/>
          <w:sz w:val="18"/>
          <w:szCs w:val="18"/>
        </w:rPr>
        <w:t xml:space="preserve">This communication contains forward-looking statements. </w:t>
      </w:r>
      <w:proofErr w:type="gramStart"/>
      <w:r w:rsidRPr="00972870">
        <w:rPr>
          <w:rFonts w:eastAsia="Encode Sans"/>
          <w:i/>
          <w:sz w:val="18"/>
          <w:szCs w:val="18"/>
        </w:rPr>
        <w:t>In particular, statements</w:t>
      </w:r>
      <w:proofErr w:type="gramEnd"/>
      <w:r w:rsidRPr="00972870">
        <w:rPr>
          <w:rFonts w:eastAsia="Encode Sans"/>
          <w:i/>
          <w:sz w:val="18"/>
          <w:szCs w:val="18"/>
        </w:rPr>
        <w:t xml:space="preserve"> regarding future events and anticipated results of operations, business strategies, the anticipated benefits of the proposed transaction, future financial and operating results, the anticipated closing date for the proposed transaction and other anticipated aspects of our operations or operating results are forward-looking statements. These statements may include terms such as </w:t>
      </w:r>
      <w:r>
        <w:rPr>
          <w:rFonts w:eastAsia="Encode Sans"/>
          <w:i/>
          <w:sz w:val="18"/>
          <w:szCs w:val="18"/>
        </w:rPr>
        <w:t>“</w:t>
      </w:r>
      <w:r w:rsidRPr="00972870">
        <w:rPr>
          <w:rFonts w:eastAsia="Encode Sans"/>
          <w:i/>
          <w:sz w:val="18"/>
          <w:szCs w:val="18"/>
        </w:rPr>
        <w:t>may</w:t>
      </w:r>
      <w:r>
        <w:rPr>
          <w:rFonts w:eastAsia="Encode Sans"/>
          <w:i/>
          <w:sz w:val="18"/>
          <w:szCs w:val="18"/>
        </w:rPr>
        <w:t>”</w:t>
      </w:r>
      <w:r w:rsidRPr="00972870">
        <w:rPr>
          <w:rFonts w:eastAsia="Encode Sans"/>
          <w:i/>
          <w:sz w:val="18"/>
          <w:szCs w:val="18"/>
        </w:rPr>
        <w:t xml:space="preserve">, </w:t>
      </w:r>
      <w:r>
        <w:rPr>
          <w:rFonts w:eastAsia="Encode Sans"/>
          <w:i/>
          <w:sz w:val="18"/>
          <w:szCs w:val="18"/>
        </w:rPr>
        <w:t>“</w:t>
      </w:r>
      <w:r w:rsidRPr="00972870">
        <w:rPr>
          <w:rFonts w:eastAsia="Encode Sans"/>
          <w:i/>
          <w:sz w:val="18"/>
          <w:szCs w:val="18"/>
        </w:rPr>
        <w:t>will</w:t>
      </w:r>
      <w:r>
        <w:rPr>
          <w:rFonts w:eastAsia="Encode Sans"/>
          <w:i/>
          <w:sz w:val="18"/>
          <w:szCs w:val="18"/>
        </w:rPr>
        <w:t>”</w:t>
      </w:r>
      <w:r w:rsidRPr="00972870">
        <w:rPr>
          <w:rFonts w:eastAsia="Encode Sans"/>
          <w:i/>
          <w:sz w:val="18"/>
          <w:szCs w:val="18"/>
        </w:rPr>
        <w:t xml:space="preserve">, </w:t>
      </w:r>
      <w:r>
        <w:rPr>
          <w:rFonts w:eastAsia="Encode Sans"/>
          <w:i/>
          <w:sz w:val="18"/>
          <w:szCs w:val="18"/>
        </w:rPr>
        <w:t>“</w:t>
      </w:r>
      <w:r w:rsidRPr="00972870">
        <w:rPr>
          <w:rFonts w:eastAsia="Encode Sans"/>
          <w:i/>
          <w:sz w:val="18"/>
          <w:szCs w:val="18"/>
        </w:rPr>
        <w:t>expect</w:t>
      </w:r>
      <w:r>
        <w:rPr>
          <w:rFonts w:eastAsia="Encode Sans"/>
          <w:i/>
          <w:sz w:val="18"/>
          <w:szCs w:val="18"/>
        </w:rPr>
        <w:t>”</w:t>
      </w:r>
      <w:r w:rsidRPr="00972870">
        <w:rPr>
          <w:rFonts w:eastAsia="Encode Sans"/>
          <w:i/>
          <w:sz w:val="18"/>
          <w:szCs w:val="18"/>
        </w:rPr>
        <w:t xml:space="preserve">, </w:t>
      </w:r>
      <w:r>
        <w:rPr>
          <w:rFonts w:eastAsia="Encode Sans"/>
          <w:i/>
          <w:sz w:val="18"/>
          <w:szCs w:val="18"/>
        </w:rPr>
        <w:t>“</w:t>
      </w:r>
      <w:r w:rsidRPr="00972870">
        <w:rPr>
          <w:rFonts w:eastAsia="Encode Sans"/>
          <w:i/>
          <w:sz w:val="18"/>
          <w:szCs w:val="18"/>
        </w:rPr>
        <w:t>could</w:t>
      </w:r>
      <w:r>
        <w:rPr>
          <w:rFonts w:eastAsia="Encode Sans"/>
          <w:i/>
          <w:sz w:val="18"/>
          <w:szCs w:val="18"/>
        </w:rPr>
        <w:t>”</w:t>
      </w:r>
      <w:r w:rsidRPr="00972870">
        <w:rPr>
          <w:rFonts w:eastAsia="Encode Sans"/>
          <w:i/>
          <w:sz w:val="18"/>
          <w:szCs w:val="18"/>
        </w:rPr>
        <w:t xml:space="preserve">, </w:t>
      </w:r>
      <w:r>
        <w:rPr>
          <w:rFonts w:eastAsia="Encode Sans"/>
          <w:i/>
          <w:sz w:val="18"/>
          <w:szCs w:val="18"/>
        </w:rPr>
        <w:t>“</w:t>
      </w:r>
      <w:r w:rsidRPr="00972870">
        <w:rPr>
          <w:rFonts w:eastAsia="Encode Sans"/>
          <w:i/>
          <w:sz w:val="18"/>
          <w:szCs w:val="18"/>
        </w:rPr>
        <w:t>should</w:t>
      </w:r>
      <w:r>
        <w:rPr>
          <w:rFonts w:eastAsia="Encode Sans"/>
          <w:i/>
          <w:sz w:val="18"/>
          <w:szCs w:val="18"/>
        </w:rPr>
        <w:t>”</w:t>
      </w:r>
      <w:r w:rsidRPr="00972870">
        <w:rPr>
          <w:rFonts w:eastAsia="Encode Sans"/>
          <w:i/>
          <w:sz w:val="18"/>
          <w:szCs w:val="18"/>
        </w:rPr>
        <w:t xml:space="preserve">, </w:t>
      </w:r>
      <w:r>
        <w:rPr>
          <w:rFonts w:eastAsia="Encode Sans"/>
          <w:i/>
          <w:sz w:val="18"/>
          <w:szCs w:val="18"/>
        </w:rPr>
        <w:t>“</w:t>
      </w:r>
      <w:r w:rsidRPr="00972870">
        <w:rPr>
          <w:rFonts w:eastAsia="Encode Sans"/>
          <w:i/>
          <w:sz w:val="18"/>
          <w:szCs w:val="18"/>
        </w:rPr>
        <w:t>intend</w:t>
      </w:r>
      <w:r>
        <w:rPr>
          <w:rFonts w:eastAsia="Encode Sans"/>
          <w:i/>
          <w:sz w:val="18"/>
          <w:szCs w:val="18"/>
        </w:rPr>
        <w:t>”</w:t>
      </w:r>
      <w:r w:rsidRPr="00972870">
        <w:rPr>
          <w:rFonts w:eastAsia="Encode Sans"/>
          <w:i/>
          <w:sz w:val="18"/>
          <w:szCs w:val="18"/>
        </w:rPr>
        <w:t xml:space="preserve">, </w:t>
      </w:r>
      <w:r>
        <w:rPr>
          <w:rFonts w:eastAsia="Encode Sans"/>
          <w:i/>
          <w:sz w:val="18"/>
          <w:szCs w:val="18"/>
        </w:rPr>
        <w:t>“</w:t>
      </w:r>
      <w:r w:rsidRPr="00972870">
        <w:rPr>
          <w:rFonts w:eastAsia="Encode Sans"/>
          <w:i/>
          <w:sz w:val="18"/>
          <w:szCs w:val="18"/>
        </w:rPr>
        <w:t>estimate</w:t>
      </w:r>
      <w:r>
        <w:rPr>
          <w:rFonts w:eastAsia="Encode Sans"/>
          <w:i/>
          <w:sz w:val="18"/>
          <w:szCs w:val="18"/>
        </w:rPr>
        <w:t>”</w:t>
      </w:r>
      <w:r w:rsidRPr="00972870">
        <w:rPr>
          <w:rFonts w:eastAsia="Encode Sans"/>
          <w:i/>
          <w:sz w:val="18"/>
          <w:szCs w:val="18"/>
        </w:rPr>
        <w:t xml:space="preserve">, </w:t>
      </w:r>
      <w:r>
        <w:rPr>
          <w:rFonts w:eastAsia="Encode Sans"/>
          <w:i/>
          <w:sz w:val="18"/>
          <w:szCs w:val="18"/>
        </w:rPr>
        <w:t>“</w:t>
      </w:r>
      <w:r w:rsidRPr="00972870">
        <w:rPr>
          <w:rFonts w:eastAsia="Encode Sans"/>
          <w:i/>
          <w:sz w:val="18"/>
          <w:szCs w:val="18"/>
        </w:rPr>
        <w:t>anticipate</w:t>
      </w:r>
      <w:r>
        <w:rPr>
          <w:rFonts w:eastAsia="Encode Sans"/>
          <w:i/>
          <w:sz w:val="18"/>
          <w:szCs w:val="18"/>
        </w:rPr>
        <w:t>”</w:t>
      </w:r>
      <w:r w:rsidRPr="00972870">
        <w:rPr>
          <w:rFonts w:eastAsia="Encode Sans"/>
          <w:i/>
          <w:sz w:val="18"/>
          <w:szCs w:val="18"/>
        </w:rPr>
        <w:t xml:space="preserve">, </w:t>
      </w:r>
      <w:r>
        <w:rPr>
          <w:rFonts w:eastAsia="Encode Sans"/>
          <w:i/>
          <w:sz w:val="18"/>
          <w:szCs w:val="18"/>
        </w:rPr>
        <w:t>“</w:t>
      </w:r>
      <w:r w:rsidRPr="00972870">
        <w:rPr>
          <w:rFonts w:eastAsia="Encode Sans"/>
          <w:i/>
          <w:sz w:val="18"/>
          <w:szCs w:val="18"/>
        </w:rPr>
        <w:t>believe</w:t>
      </w:r>
      <w:r>
        <w:rPr>
          <w:rFonts w:eastAsia="Encode Sans"/>
          <w:i/>
          <w:sz w:val="18"/>
          <w:szCs w:val="18"/>
        </w:rPr>
        <w:t>”</w:t>
      </w:r>
      <w:r w:rsidRPr="00972870">
        <w:rPr>
          <w:rFonts w:eastAsia="Encode Sans"/>
          <w:i/>
          <w:sz w:val="18"/>
          <w:szCs w:val="18"/>
        </w:rPr>
        <w:t xml:space="preserve">, </w:t>
      </w:r>
      <w:r>
        <w:rPr>
          <w:rFonts w:eastAsia="Encode Sans"/>
          <w:i/>
          <w:sz w:val="18"/>
          <w:szCs w:val="18"/>
        </w:rPr>
        <w:t>“</w:t>
      </w:r>
      <w:r w:rsidRPr="00972870">
        <w:rPr>
          <w:rFonts w:eastAsia="Encode Sans"/>
          <w:i/>
          <w:sz w:val="18"/>
          <w:szCs w:val="18"/>
        </w:rPr>
        <w:t>remain</w:t>
      </w:r>
      <w:r>
        <w:rPr>
          <w:rFonts w:eastAsia="Encode Sans"/>
          <w:i/>
          <w:sz w:val="18"/>
          <w:szCs w:val="18"/>
        </w:rPr>
        <w:t>”</w:t>
      </w:r>
      <w:r w:rsidRPr="00972870">
        <w:rPr>
          <w:rFonts w:eastAsia="Encode Sans"/>
          <w:i/>
          <w:sz w:val="18"/>
          <w:szCs w:val="18"/>
        </w:rPr>
        <w:t xml:space="preserve">, </w:t>
      </w:r>
      <w:r>
        <w:rPr>
          <w:rFonts w:eastAsia="Encode Sans"/>
          <w:i/>
          <w:sz w:val="18"/>
          <w:szCs w:val="18"/>
        </w:rPr>
        <w:t>“</w:t>
      </w:r>
      <w:r w:rsidRPr="00972870">
        <w:rPr>
          <w:rFonts w:eastAsia="Encode Sans"/>
          <w:i/>
          <w:sz w:val="18"/>
          <w:szCs w:val="18"/>
        </w:rPr>
        <w:t>on track</w:t>
      </w:r>
      <w:r>
        <w:rPr>
          <w:rFonts w:eastAsia="Encode Sans"/>
          <w:i/>
          <w:sz w:val="18"/>
          <w:szCs w:val="18"/>
        </w:rPr>
        <w:t>”</w:t>
      </w:r>
      <w:r w:rsidRPr="00972870">
        <w:rPr>
          <w:rFonts w:eastAsia="Encode Sans"/>
          <w:i/>
          <w:sz w:val="18"/>
          <w:szCs w:val="18"/>
        </w:rPr>
        <w:t xml:space="preserve">, </w:t>
      </w:r>
      <w:r>
        <w:rPr>
          <w:rFonts w:eastAsia="Encode Sans"/>
          <w:i/>
          <w:sz w:val="18"/>
          <w:szCs w:val="18"/>
        </w:rPr>
        <w:lastRenderedPageBreak/>
        <w:t>“</w:t>
      </w:r>
      <w:r w:rsidRPr="00972870">
        <w:rPr>
          <w:rFonts w:eastAsia="Encode Sans"/>
          <w:i/>
          <w:sz w:val="18"/>
          <w:szCs w:val="18"/>
        </w:rPr>
        <w:t>design</w:t>
      </w:r>
      <w:r>
        <w:rPr>
          <w:rFonts w:eastAsia="Encode Sans"/>
          <w:i/>
          <w:sz w:val="18"/>
          <w:szCs w:val="18"/>
        </w:rPr>
        <w:t>”</w:t>
      </w:r>
      <w:r w:rsidRPr="00972870">
        <w:rPr>
          <w:rFonts w:eastAsia="Encode Sans"/>
          <w:i/>
          <w:sz w:val="18"/>
          <w:szCs w:val="18"/>
        </w:rPr>
        <w:t xml:space="preserve">, </w:t>
      </w:r>
      <w:r>
        <w:rPr>
          <w:rFonts w:eastAsia="Encode Sans"/>
          <w:i/>
          <w:sz w:val="18"/>
          <w:szCs w:val="18"/>
        </w:rPr>
        <w:t>“</w:t>
      </w:r>
      <w:r w:rsidRPr="00972870">
        <w:rPr>
          <w:rFonts w:eastAsia="Encode Sans"/>
          <w:i/>
          <w:sz w:val="18"/>
          <w:szCs w:val="18"/>
        </w:rPr>
        <w:t>target</w:t>
      </w:r>
      <w:r>
        <w:rPr>
          <w:rFonts w:eastAsia="Encode Sans"/>
          <w:i/>
          <w:sz w:val="18"/>
          <w:szCs w:val="18"/>
        </w:rPr>
        <w:t>”</w:t>
      </w:r>
      <w:r w:rsidRPr="00972870">
        <w:rPr>
          <w:rFonts w:eastAsia="Encode Sans"/>
          <w:i/>
          <w:sz w:val="18"/>
          <w:szCs w:val="18"/>
        </w:rPr>
        <w:t xml:space="preserve">, </w:t>
      </w:r>
      <w:r>
        <w:rPr>
          <w:rFonts w:eastAsia="Encode Sans"/>
          <w:i/>
          <w:sz w:val="18"/>
          <w:szCs w:val="18"/>
        </w:rPr>
        <w:t>“</w:t>
      </w:r>
      <w:r w:rsidRPr="00972870">
        <w:rPr>
          <w:rFonts w:eastAsia="Encode Sans"/>
          <w:i/>
          <w:sz w:val="18"/>
          <w:szCs w:val="18"/>
        </w:rPr>
        <w:t>objective</w:t>
      </w:r>
      <w:r>
        <w:rPr>
          <w:rFonts w:eastAsia="Encode Sans"/>
          <w:i/>
          <w:sz w:val="18"/>
          <w:szCs w:val="18"/>
        </w:rPr>
        <w:t>”</w:t>
      </w:r>
      <w:r w:rsidRPr="00972870">
        <w:rPr>
          <w:rFonts w:eastAsia="Encode Sans"/>
          <w:i/>
          <w:sz w:val="18"/>
          <w:szCs w:val="18"/>
        </w:rPr>
        <w:t xml:space="preserve">, </w:t>
      </w:r>
      <w:r>
        <w:rPr>
          <w:rFonts w:eastAsia="Encode Sans"/>
          <w:i/>
          <w:sz w:val="18"/>
          <w:szCs w:val="18"/>
        </w:rPr>
        <w:t>“</w:t>
      </w:r>
      <w:r w:rsidRPr="00972870">
        <w:rPr>
          <w:rFonts w:eastAsia="Encode Sans"/>
          <w:i/>
          <w:sz w:val="18"/>
          <w:szCs w:val="18"/>
        </w:rPr>
        <w:t>goal</w:t>
      </w:r>
      <w:r>
        <w:rPr>
          <w:rFonts w:eastAsia="Encode Sans"/>
          <w:i/>
          <w:sz w:val="18"/>
          <w:szCs w:val="18"/>
        </w:rPr>
        <w:t>”</w:t>
      </w:r>
      <w:r w:rsidRPr="00972870">
        <w:rPr>
          <w:rFonts w:eastAsia="Encode Sans"/>
          <w:i/>
          <w:sz w:val="18"/>
          <w:szCs w:val="18"/>
        </w:rPr>
        <w:t xml:space="preserve">, </w:t>
      </w:r>
      <w:r>
        <w:rPr>
          <w:rFonts w:eastAsia="Encode Sans"/>
          <w:i/>
          <w:sz w:val="18"/>
          <w:szCs w:val="18"/>
        </w:rPr>
        <w:t>“</w:t>
      </w:r>
      <w:r w:rsidRPr="00972870">
        <w:rPr>
          <w:rFonts w:eastAsia="Encode Sans"/>
          <w:i/>
          <w:sz w:val="18"/>
          <w:szCs w:val="18"/>
        </w:rPr>
        <w:t>forecast</w:t>
      </w:r>
      <w:r>
        <w:rPr>
          <w:rFonts w:eastAsia="Encode Sans"/>
          <w:i/>
          <w:sz w:val="18"/>
          <w:szCs w:val="18"/>
        </w:rPr>
        <w:t>”</w:t>
      </w:r>
      <w:r w:rsidRPr="00972870">
        <w:rPr>
          <w:rFonts w:eastAsia="Encode Sans"/>
          <w:i/>
          <w:sz w:val="18"/>
          <w:szCs w:val="18"/>
        </w:rPr>
        <w:t xml:space="preserve">, </w:t>
      </w:r>
      <w:r>
        <w:rPr>
          <w:rFonts w:eastAsia="Encode Sans"/>
          <w:i/>
          <w:sz w:val="18"/>
          <w:szCs w:val="18"/>
        </w:rPr>
        <w:t>“</w:t>
      </w:r>
      <w:r w:rsidRPr="00972870">
        <w:rPr>
          <w:rFonts w:eastAsia="Encode Sans"/>
          <w:i/>
          <w:sz w:val="18"/>
          <w:szCs w:val="18"/>
        </w:rPr>
        <w:t>projection</w:t>
      </w:r>
      <w:r>
        <w:rPr>
          <w:rFonts w:eastAsia="Encode Sans"/>
          <w:i/>
          <w:sz w:val="18"/>
          <w:szCs w:val="18"/>
        </w:rPr>
        <w:t>”</w:t>
      </w:r>
      <w:r w:rsidRPr="00972870">
        <w:rPr>
          <w:rFonts w:eastAsia="Encode Sans"/>
          <w:i/>
          <w:sz w:val="18"/>
          <w:szCs w:val="18"/>
        </w:rPr>
        <w:t xml:space="preserve">, </w:t>
      </w:r>
      <w:r>
        <w:rPr>
          <w:rFonts w:eastAsia="Encode Sans"/>
          <w:i/>
          <w:sz w:val="18"/>
          <w:szCs w:val="18"/>
        </w:rPr>
        <w:t>“</w:t>
      </w:r>
      <w:r w:rsidRPr="00972870">
        <w:rPr>
          <w:rFonts w:eastAsia="Encode Sans"/>
          <w:i/>
          <w:sz w:val="18"/>
          <w:szCs w:val="18"/>
        </w:rPr>
        <w:t>outlook</w:t>
      </w:r>
      <w:r>
        <w:rPr>
          <w:rFonts w:eastAsia="Encode Sans"/>
          <w:i/>
          <w:sz w:val="18"/>
          <w:szCs w:val="18"/>
        </w:rPr>
        <w:t>”</w:t>
      </w:r>
      <w:r w:rsidRPr="00972870">
        <w:rPr>
          <w:rFonts w:eastAsia="Encode Sans"/>
          <w:i/>
          <w:sz w:val="18"/>
          <w:szCs w:val="18"/>
        </w:rPr>
        <w:t xml:space="preserve">, </w:t>
      </w:r>
      <w:r>
        <w:rPr>
          <w:rFonts w:eastAsia="Encode Sans"/>
          <w:i/>
          <w:sz w:val="18"/>
          <w:szCs w:val="18"/>
        </w:rPr>
        <w:t>“</w:t>
      </w:r>
      <w:r w:rsidRPr="00972870">
        <w:rPr>
          <w:rFonts w:eastAsia="Encode Sans"/>
          <w:i/>
          <w:sz w:val="18"/>
          <w:szCs w:val="18"/>
        </w:rPr>
        <w:t>prospects</w:t>
      </w:r>
      <w:r>
        <w:rPr>
          <w:rFonts w:eastAsia="Encode Sans"/>
          <w:i/>
          <w:sz w:val="18"/>
          <w:szCs w:val="18"/>
        </w:rPr>
        <w:t>”</w:t>
      </w:r>
      <w:r w:rsidRPr="00972870">
        <w:rPr>
          <w:rFonts w:eastAsia="Encode Sans"/>
          <w:i/>
          <w:sz w:val="18"/>
          <w:szCs w:val="18"/>
        </w:rPr>
        <w:t xml:space="preserve">, </w:t>
      </w:r>
      <w:r>
        <w:rPr>
          <w:rFonts w:eastAsia="Encode Sans"/>
          <w:i/>
          <w:sz w:val="18"/>
          <w:szCs w:val="18"/>
        </w:rPr>
        <w:t>“</w:t>
      </w:r>
      <w:r w:rsidRPr="00972870">
        <w:rPr>
          <w:rFonts w:eastAsia="Encode Sans"/>
          <w:i/>
          <w:sz w:val="18"/>
          <w:szCs w:val="18"/>
        </w:rPr>
        <w:t>plan</w:t>
      </w:r>
      <w:r>
        <w:rPr>
          <w:rFonts w:eastAsia="Encode Sans"/>
          <w:i/>
          <w:sz w:val="18"/>
          <w:szCs w:val="18"/>
        </w:rPr>
        <w:t>”</w:t>
      </w:r>
      <w:r w:rsidRPr="00972870">
        <w:rPr>
          <w:rFonts w:eastAsia="Encode Sans"/>
          <w:i/>
          <w:sz w:val="18"/>
          <w:szCs w:val="18"/>
        </w:rPr>
        <w:t>, or similar terms. Forward-looking statements are not guarantees of future performance. Rather, they are based on Stellantis</w:t>
      </w:r>
      <w:r>
        <w:rPr>
          <w:rFonts w:eastAsia="Encode Sans"/>
          <w:i/>
          <w:sz w:val="18"/>
          <w:szCs w:val="18"/>
        </w:rPr>
        <w:t>’</w:t>
      </w:r>
      <w:r w:rsidRPr="00972870">
        <w:rPr>
          <w:rFonts w:eastAsia="Encode Sans"/>
          <w:i/>
          <w:sz w:val="18"/>
          <w:szCs w:val="18"/>
        </w:rPr>
        <w:t xml:space="preserve"> current state of knowledge, future expectations and projections about future events and are by their nature, subject to inherent risks and uncertainties. They relate to events and depend on circumstances that may or may not occur or exist in the future and, as such, undue reliance should not be placed on them.</w:t>
      </w:r>
    </w:p>
    <w:p w14:paraId="5B3C4B09" w14:textId="4E6B20B2" w:rsidR="007E45B2" w:rsidRPr="00972870" w:rsidRDefault="007E45B2" w:rsidP="00830EC0">
      <w:pPr>
        <w:spacing w:before="240"/>
        <w:rPr>
          <w:rFonts w:eastAsia="Encode Sans"/>
          <w:i/>
          <w:sz w:val="18"/>
          <w:szCs w:val="18"/>
        </w:rPr>
      </w:pPr>
      <w:r w:rsidRPr="007E45B2">
        <w:rPr>
          <w:rFonts w:eastAsia="Encode Sans"/>
          <w:i/>
          <w:sz w:val="18"/>
          <w:szCs w:val="18"/>
        </w:rPr>
        <w:t>Actual results may differ materially from those expressed in forward-looking statements as a result of a variety of factors, including: the ability of Stellantis to launch new products successfully and to maintain vehicle shipment volumes; changes in the global financial markets, general economic environment and changes in demand for automotive products, which is subject to cyclicality; Stellantis’ ability to successfully manage the industry-wide transition from internal combustion engines to full electrification; Stellantis’ ability to offer innovative, attractive products and to develop, manufacture and sell vehicles with advanced features including enhanced electrification, connectivity and autonomous-driving characteristics; Stellantis’ ability to produce or procure electric batteries with competitive performance, cost and at required volumes; Stellantis’ ability to successfully launch new businesses and integrate acquisitions; a significant malfunction, disruption or security breach compromising information technology systems or the electronic control systems contained in Stellantis’ vehicles; exchange rate fluctuations, interest rate changes, credit risk and other market risks; increases in costs, disruptions of supply or shortages of raw materials, parts, components and systems used in Stellantis’ vehicles; changes in local economic and political conditions; changes in trade policy, the imposition of global and regional tariffs or tariffs targeted to the automotive industry, the enactment of tax reforms or other changes in tax laws and regulations; the level of governmental economic incentives available to support the adoption of battery electric vehicles; the impact of increasingly stringent regulations regarding fuel efficiency requirements and reduced greenhouse gas and tailpipe emissions; various types of claims, lawsuits, governmental investigations and other contingencies, including product liability and warranty claims and environmental claims, investigations and lawsuits; material operating expenditures in relation to compliance with environmental, health and safety regulations; the level of competition in the automotive industry, which may increase due to consolidation and new entrants; Stellantis’ ability to attract and retain experienced management and employees; exposure to shortfalls in the funding of Stellantis’ defined benefit pension plans; Stellantis’ ability to provide or arrange for access to adequate financing for dealers and retail customers and associated risks related to the operations of financial services companies; Stellantis’ ability to access funding to execute its business plan; Stellantis’ ability to realize anticipated benefits from joint venture arrangements; disruptions arising from political, social and economic instability; risks associated with Stellantis’ relationships with employees, dealers and suppliers; Stellantis’ ability to maintain effective internal controls over financial reporting; developments in labor and industrial relations and developments in applicable labor laws; earthquakes or other disasters; risks and other items described in Stellantis’ Annual Report on Form 20-F for the year ended December 31, 2023 and Current Reports on Form 6-K and amendments thereto filed with the SEC; and other risks and uncertainties.</w:t>
      </w:r>
    </w:p>
    <w:p w14:paraId="7627C045" w14:textId="77777777" w:rsidR="00830EC0" w:rsidRPr="00972870" w:rsidRDefault="00830EC0" w:rsidP="00830EC0">
      <w:pPr>
        <w:spacing w:before="240"/>
        <w:rPr>
          <w:rFonts w:eastAsia="Encode Sans"/>
          <w:i/>
          <w:sz w:val="18"/>
          <w:szCs w:val="18"/>
        </w:rPr>
      </w:pPr>
      <w:r w:rsidRPr="00972870">
        <w:rPr>
          <w:rFonts w:eastAsia="Encode Sans"/>
          <w:i/>
          <w:sz w:val="18"/>
          <w:szCs w:val="18"/>
        </w:rPr>
        <w:t xml:space="preserve"> Any forward-looking statements contained in this communication speak only as of the date of this document and Stellantis disclaims any obligation to update or revise publicly forward-looking statements. Further information concerning Stellantis and its businesses, including factors that could materially affect Stellantis</w:t>
      </w:r>
      <w:r>
        <w:rPr>
          <w:rFonts w:eastAsia="Encode Sans"/>
          <w:i/>
          <w:sz w:val="18"/>
          <w:szCs w:val="18"/>
        </w:rPr>
        <w:t>’</w:t>
      </w:r>
      <w:r w:rsidRPr="00972870">
        <w:rPr>
          <w:rFonts w:eastAsia="Encode Sans"/>
          <w:i/>
          <w:sz w:val="18"/>
          <w:szCs w:val="18"/>
        </w:rPr>
        <w:t xml:space="preserve"> financial results, is included in Stellantis</w:t>
      </w:r>
      <w:r>
        <w:rPr>
          <w:rFonts w:eastAsia="Encode Sans"/>
          <w:i/>
          <w:sz w:val="18"/>
          <w:szCs w:val="18"/>
        </w:rPr>
        <w:t>’</w:t>
      </w:r>
      <w:r w:rsidRPr="00972870">
        <w:rPr>
          <w:rFonts w:eastAsia="Encode Sans"/>
          <w:i/>
          <w:sz w:val="18"/>
          <w:szCs w:val="18"/>
        </w:rPr>
        <w:t xml:space="preserve"> reports and filings with the U.S. Securities and Exchange Commission and AFM.</w:t>
      </w:r>
    </w:p>
    <w:p w14:paraId="6C03B778" w14:textId="77777777" w:rsidR="00D814DF" w:rsidRPr="00830EC0" w:rsidRDefault="00D814DF" w:rsidP="0026471E">
      <w:pPr>
        <w:tabs>
          <w:tab w:val="left" w:pos="8280"/>
        </w:tabs>
        <w:spacing w:after="0"/>
        <w:jc w:val="left"/>
      </w:pPr>
    </w:p>
    <w:sectPr w:rsidR="00D814DF" w:rsidRPr="00830EC0" w:rsidSect="0026471E">
      <w:headerReference w:type="first" r:id="rId12"/>
      <w:pgSz w:w="12242" w:h="15842" w:code="134"/>
      <w:pgMar w:top="1134" w:right="1928" w:bottom="1134" w:left="1928" w:header="1021" w:footer="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CFBC2" w14:textId="77777777" w:rsidR="00046900" w:rsidRDefault="00046900" w:rsidP="008D3E4C">
      <w:r>
        <w:separator/>
      </w:r>
    </w:p>
  </w:endnote>
  <w:endnote w:type="continuationSeparator" w:id="0">
    <w:p w14:paraId="0C2985F8" w14:textId="77777777" w:rsidR="00046900" w:rsidRDefault="00046900"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FBAF6A52-1573-49F7-B628-661B0382CB7D}"/>
    <w:embedBold r:id="rId2" w:fontKey="{C1AAEC6F-9B7C-4507-9DBA-2DA6BEABE2B9}"/>
    <w:embedItalic r:id="rId3" w:fontKey="{2B8C1A78-377E-4A51-9C4F-BBD962457516}"/>
  </w:font>
  <w:font w:name="Encode Sans ExpandedSemiBold">
    <w:panose1 w:val="00000000000000000000"/>
    <w:charset w:val="00"/>
    <w:family w:val="auto"/>
    <w:pitch w:val="variable"/>
    <w:sig w:usb0="A00000FF" w:usb1="4000207B" w:usb2="00000000" w:usb3="00000000" w:csb0="00000193" w:csb1="00000000"/>
    <w:embedRegular r:id="rId4" w:fontKey="{C02C276F-80BC-4A9C-AEFD-7542EF0CA7BB}"/>
    <w:embedItalic r:id="rId5" w:fontKey="{C2F4E51A-79C7-46DC-B226-205FAB809DF7}"/>
  </w:font>
  <w:font w:name="Encode Sans">
    <w:panose1 w:val="00000000000000000000"/>
    <w:charset w:val="00"/>
    <w:family w:val="auto"/>
    <w:pitch w:val="variable"/>
    <w:sig w:usb0="A00000FF" w:usb1="4000207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1A338" w14:textId="77777777" w:rsidR="00046900" w:rsidRDefault="00046900" w:rsidP="008D3E4C">
      <w:r>
        <w:separator/>
      </w:r>
    </w:p>
  </w:footnote>
  <w:footnote w:type="continuationSeparator" w:id="0">
    <w:p w14:paraId="066B2806" w14:textId="77777777" w:rsidR="00046900" w:rsidRDefault="00046900"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7CFF8" w14:textId="77777777" w:rsidR="005F2120" w:rsidRDefault="00A33E8D" w:rsidP="008D3E4C">
    <w:pPr>
      <w:pStyle w:val="Header"/>
    </w:pPr>
    <w:r w:rsidRPr="00A33E8D">
      <w:rPr>
        <w:noProof/>
      </w:rPr>
      <mc:AlternateContent>
        <mc:Choice Requires="wpg">
          <w:drawing>
            <wp:anchor distT="0" distB="0" distL="114300" distR="114300" simplePos="0" relativeHeight="251660288" behindDoc="1" locked="1" layoutInCell="1" allowOverlap="1" wp14:anchorId="76B7CFDE" wp14:editId="04AE71DC">
              <wp:simplePos x="0" y="0"/>
              <wp:positionH relativeFrom="page">
                <wp:posOffset>449580</wp:posOffset>
              </wp:positionH>
              <wp:positionV relativeFrom="page">
                <wp:posOffset>-22860</wp:posOffset>
              </wp:positionV>
              <wp:extent cx="269875" cy="2417445"/>
              <wp:effectExtent l="0" t="0" r="0" b="190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17445"/>
                        <a:chOff x="0" y="-89386"/>
                        <a:chExt cx="315912" cy="2835761"/>
                      </a:xfrm>
                    </wpg:grpSpPr>
                    <wps:wsp>
                      <wps:cNvPr id="6"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3" name="Freeform 14">
                        <a:extLst>
                          <a:ext uri="{FF2B5EF4-FFF2-40B4-BE49-F238E27FC236}">
                            <a16:creationId xmlns:a16="http://schemas.microsoft.com/office/drawing/2014/main" id="{884F86C7-01D7-4A0E-8329-E6351412D64E}"/>
                          </a:ext>
                        </a:extLst>
                      </wps:cNvPr>
                      <wps:cNvSpPr>
                        <a:spLocks/>
                      </wps:cNvSpPr>
                      <wps:spPr bwMode="auto">
                        <a:xfrm>
                          <a:off x="0" y="-89386"/>
                          <a:ext cx="315912" cy="272939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533C88" w14:textId="77777777" w:rsidR="00A33E8D" w:rsidRPr="00150AD4" w:rsidRDefault="00A33E8D" w:rsidP="008D3E4C">
                            <w:pPr>
                              <w:pStyle w:val="SPRESSRELEASESTRIP"/>
                            </w:pPr>
                            <w:r w:rsidRPr="00150AD4">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6B7CFDE" id="Groupe 29" o:spid="_x0000_s1026" style="position:absolute;margin-left:35.4pt;margin-top:-1.8pt;width:21.25pt;height:190.35pt;z-index:-251656192;mso-position-horizontal-relative:page;mso-position-vertical-relative:page;mso-width-relative:margin;mso-height-relative:margin" coordorigin=",-893" coordsize="3159,2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" fillcolor="#243782 [3204]" stroked="f"/>
              <v:shape id="Freeform 14" o:spid="_x0000_s1033" style="position:absolute;top:-893;width:3159;height:2729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05971;0,2705971;0,2705971;23401,2729399;46802,2705971;46802,2705971;50702,2705971;70203,2686447;89703,2705971;89703,2705971;89703,2705971;113104,2729399;136505,2705971;136505,2705971;136505,2705971;159906,2686447;179407,2705971;179407,2705971;179407,2705971;179407,2705971;179407,2705971;202808,2729399;226209,2705971;226209,2705971;226209,2705971;245709,2686447;269110,2705971;269110,2705971;269110,2705971;292511,2729399;315912,2705971;315912,2705971;315912,2705971;315912,0" o:connectangles="0,0,0,0,0,0,0,0,0,0,0,0,0,0,0,0,0,0,0,0,0,0,0,0,0,0,0,0,0,0,0,0,0,0,0,0" textboxrect="0,0,81,699"/>
                <v:textbox style="layout-flow:vertical;mso-layout-flow-alt:bottom-to-top" inset=".7mm,0,1mm,5mm">
                  <w:txbxContent>
                    <w:p w14:paraId="22533C88" w14:textId="77777777" w:rsidR="00A33E8D" w:rsidRPr="00150AD4" w:rsidRDefault="00A33E8D" w:rsidP="008D3E4C">
                      <w:pPr>
                        <w:pStyle w:val="SPRESSRELEASESTRIP"/>
                      </w:pPr>
                      <w:r w:rsidRPr="00150AD4">
                        <w:t>PRESS RELEASE</w:t>
                      </w:r>
                    </w:p>
                  </w:txbxContent>
                </v:textbox>
              </v:shape>
              <w10:wrap anchorx="page" anchory="page"/>
              <w10:anchorlock/>
            </v:group>
          </w:pict>
        </mc:Fallback>
      </mc:AlternateContent>
    </w:r>
    <w:r w:rsidR="005F2120">
      <w:rPr>
        <w:noProof/>
      </w:rPr>
      <w:drawing>
        <wp:inline distT="0" distB="0" distL="0" distR="0" wp14:anchorId="3352C24A" wp14:editId="08F461A9">
          <wp:extent cx="2317210" cy="718820"/>
          <wp:effectExtent l="0" t="0" r="6985"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1E19D1"/>
    <w:multiLevelType w:val="multilevel"/>
    <w:tmpl w:val="54F6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960835"/>
    <w:multiLevelType w:val="multilevel"/>
    <w:tmpl w:val="193A4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0227882"/>
    <w:multiLevelType w:val="hybridMultilevel"/>
    <w:tmpl w:val="BB90FC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954CF1"/>
    <w:multiLevelType w:val="hybridMultilevel"/>
    <w:tmpl w:val="2380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3532916"/>
    <w:multiLevelType w:val="multilevel"/>
    <w:tmpl w:val="C8BC7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11160409">
    <w:abstractNumId w:val="8"/>
  </w:num>
  <w:num w:numId="2" w16cid:durableId="1492863882">
    <w:abstractNumId w:val="3"/>
  </w:num>
  <w:num w:numId="3" w16cid:durableId="2046052446">
    <w:abstractNumId w:val="2"/>
  </w:num>
  <w:num w:numId="4" w16cid:durableId="1497452102">
    <w:abstractNumId w:val="1"/>
  </w:num>
  <w:num w:numId="5" w16cid:durableId="657685523">
    <w:abstractNumId w:val="0"/>
  </w:num>
  <w:num w:numId="6" w16cid:durableId="1140731335">
    <w:abstractNumId w:val="9"/>
  </w:num>
  <w:num w:numId="7" w16cid:durableId="549268773">
    <w:abstractNumId w:val="7"/>
  </w:num>
  <w:num w:numId="8" w16cid:durableId="1667436396">
    <w:abstractNumId w:val="6"/>
  </w:num>
  <w:num w:numId="9" w16cid:durableId="1966958514">
    <w:abstractNumId w:val="5"/>
  </w:num>
  <w:num w:numId="10" w16cid:durableId="1396389052">
    <w:abstractNumId w:val="4"/>
  </w:num>
  <w:num w:numId="11" w16cid:durableId="1622951006">
    <w:abstractNumId w:val="14"/>
  </w:num>
  <w:num w:numId="12" w16cid:durableId="1838809675">
    <w:abstractNumId w:val="15"/>
  </w:num>
  <w:num w:numId="13" w16cid:durableId="275212318">
    <w:abstractNumId w:val="10"/>
  </w:num>
  <w:num w:numId="14" w16cid:durableId="1605070926">
    <w:abstractNumId w:val="11"/>
  </w:num>
  <w:num w:numId="15" w16cid:durableId="168108770">
    <w:abstractNumId w:val="13"/>
  </w:num>
  <w:num w:numId="16" w16cid:durableId="13713470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E7"/>
    <w:rsid w:val="00015D93"/>
    <w:rsid w:val="00017DF1"/>
    <w:rsid w:val="00021C51"/>
    <w:rsid w:val="00023056"/>
    <w:rsid w:val="00032509"/>
    <w:rsid w:val="00034E71"/>
    <w:rsid w:val="0003503A"/>
    <w:rsid w:val="00045E1F"/>
    <w:rsid w:val="00046900"/>
    <w:rsid w:val="00055F10"/>
    <w:rsid w:val="0006020F"/>
    <w:rsid w:val="00074112"/>
    <w:rsid w:val="00083B46"/>
    <w:rsid w:val="00087566"/>
    <w:rsid w:val="000B55A2"/>
    <w:rsid w:val="000B6E83"/>
    <w:rsid w:val="000C24E1"/>
    <w:rsid w:val="000E2995"/>
    <w:rsid w:val="000F2FE8"/>
    <w:rsid w:val="00103DF5"/>
    <w:rsid w:val="0010465E"/>
    <w:rsid w:val="00104F75"/>
    <w:rsid w:val="00126E5A"/>
    <w:rsid w:val="001400DC"/>
    <w:rsid w:val="00140A24"/>
    <w:rsid w:val="00140D0E"/>
    <w:rsid w:val="001507D9"/>
    <w:rsid w:val="00150AD4"/>
    <w:rsid w:val="00154A25"/>
    <w:rsid w:val="0015732F"/>
    <w:rsid w:val="00195CBD"/>
    <w:rsid w:val="001965B3"/>
    <w:rsid w:val="00196A61"/>
    <w:rsid w:val="001B0085"/>
    <w:rsid w:val="001B591C"/>
    <w:rsid w:val="001C0FF2"/>
    <w:rsid w:val="001D168B"/>
    <w:rsid w:val="001D6022"/>
    <w:rsid w:val="001E07C8"/>
    <w:rsid w:val="001E0AC3"/>
    <w:rsid w:val="001E5F48"/>
    <w:rsid w:val="001E6C1E"/>
    <w:rsid w:val="001F4703"/>
    <w:rsid w:val="001F6B51"/>
    <w:rsid w:val="00201B8F"/>
    <w:rsid w:val="00214443"/>
    <w:rsid w:val="0022588D"/>
    <w:rsid w:val="0023542B"/>
    <w:rsid w:val="00237EBF"/>
    <w:rsid w:val="00240E84"/>
    <w:rsid w:val="00241211"/>
    <w:rsid w:val="00242220"/>
    <w:rsid w:val="00244B95"/>
    <w:rsid w:val="00251BEE"/>
    <w:rsid w:val="00253AD7"/>
    <w:rsid w:val="00257500"/>
    <w:rsid w:val="00262A2A"/>
    <w:rsid w:val="0026471E"/>
    <w:rsid w:val="00271869"/>
    <w:rsid w:val="00282E05"/>
    <w:rsid w:val="002836DD"/>
    <w:rsid w:val="00284F32"/>
    <w:rsid w:val="002936D1"/>
    <w:rsid w:val="00293E0C"/>
    <w:rsid w:val="002A73B3"/>
    <w:rsid w:val="002B24B2"/>
    <w:rsid w:val="002B4C5C"/>
    <w:rsid w:val="002B7C39"/>
    <w:rsid w:val="002C508D"/>
    <w:rsid w:val="002D2DE0"/>
    <w:rsid w:val="002F705B"/>
    <w:rsid w:val="00306422"/>
    <w:rsid w:val="00321A4C"/>
    <w:rsid w:val="00322BCE"/>
    <w:rsid w:val="00331252"/>
    <w:rsid w:val="00352C28"/>
    <w:rsid w:val="0036683D"/>
    <w:rsid w:val="00380020"/>
    <w:rsid w:val="00384462"/>
    <w:rsid w:val="00385D53"/>
    <w:rsid w:val="003864AD"/>
    <w:rsid w:val="003D0000"/>
    <w:rsid w:val="003D626D"/>
    <w:rsid w:val="003E68CC"/>
    <w:rsid w:val="003E727D"/>
    <w:rsid w:val="003F3F37"/>
    <w:rsid w:val="003F6AD7"/>
    <w:rsid w:val="004022B4"/>
    <w:rsid w:val="00425677"/>
    <w:rsid w:val="00427ABE"/>
    <w:rsid w:val="00433EDD"/>
    <w:rsid w:val="00435A04"/>
    <w:rsid w:val="0044219E"/>
    <w:rsid w:val="004502CD"/>
    <w:rsid w:val="0045216F"/>
    <w:rsid w:val="004532D9"/>
    <w:rsid w:val="00464B4C"/>
    <w:rsid w:val="004830B1"/>
    <w:rsid w:val="00484232"/>
    <w:rsid w:val="004D61EA"/>
    <w:rsid w:val="004F7D4E"/>
    <w:rsid w:val="00501A19"/>
    <w:rsid w:val="00514D13"/>
    <w:rsid w:val="0051589C"/>
    <w:rsid w:val="00521D0C"/>
    <w:rsid w:val="00521EAA"/>
    <w:rsid w:val="00523B69"/>
    <w:rsid w:val="0054149A"/>
    <w:rsid w:val="00544345"/>
    <w:rsid w:val="00546209"/>
    <w:rsid w:val="00546DF7"/>
    <w:rsid w:val="0055479C"/>
    <w:rsid w:val="00562D3D"/>
    <w:rsid w:val="00581D2D"/>
    <w:rsid w:val="005905CF"/>
    <w:rsid w:val="00590D1A"/>
    <w:rsid w:val="0059213B"/>
    <w:rsid w:val="00597535"/>
    <w:rsid w:val="005B024F"/>
    <w:rsid w:val="005B3444"/>
    <w:rsid w:val="005C775F"/>
    <w:rsid w:val="005D1D6D"/>
    <w:rsid w:val="005D2EA9"/>
    <w:rsid w:val="005D4C14"/>
    <w:rsid w:val="005E7E50"/>
    <w:rsid w:val="005F2120"/>
    <w:rsid w:val="00610497"/>
    <w:rsid w:val="0061682B"/>
    <w:rsid w:val="00622F76"/>
    <w:rsid w:val="0063678A"/>
    <w:rsid w:val="006444A1"/>
    <w:rsid w:val="00646166"/>
    <w:rsid w:val="00655A10"/>
    <w:rsid w:val="00666A99"/>
    <w:rsid w:val="00673E4C"/>
    <w:rsid w:val="0068065A"/>
    <w:rsid w:val="00682310"/>
    <w:rsid w:val="006B5C7E"/>
    <w:rsid w:val="006E27BF"/>
    <w:rsid w:val="006F2BCB"/>
    <w:rsid w:val="00700983"/>
    <w:rsid w:val="00725131"/>
    <w:rsid w:val="00725C85"/>
    <w:rsid w:val="00753A05"/>
    <w:rsid w:val="00770627"/>
    <w:rsid w:val="007819D6"/>
    <w:rsid w:val="00792556"/>
    <w:rsid w:val="0079440C"/>
    <w:rsid w:val="00797A8C"/>
    <w:rsid w:val="007A46E2"/>
    <w:rsid w:val="007B6150"/>
    <w:rsid w:val="007D520B"/>
    <w:rsid w:val="007E317D"/>
    <w:rsid w:val="007E45B2"/>
    <w:rsid w:val="007E72E8"/>
    <w:rsid w:val="007F4C9B"/>
    <w:rsid w:val="0080313B"/>
    <w:rsid w:val="00805769"/>
    <w:rsid w:val="00805FAA"/>
    <w:rsid w:val="008124BD"/>
    <w:rsid w:val="00813079"/>
    <w:rsid w:val="00815B14"/>
    <w:rsid w:val="00830EC0"/>
    <w:rsid w:val="00833D94"/>
    <w:rsid w:val="008435F3"/>
    <w:rsid w:val="00844956"/>
    <w:rsid w:val="008522CB"/>
    <w:rsid w:val="00857FC3"/>
    <w:rsid w:val="0086416D"/>
    <w:rsid w:val="00877117"/>
    <w:rsid w:val="00881E80"/>
    <w:rsid w:val="00896F71"/>
    <w:rsid w:val="008974FB"/>
    <w:rsid w:val="008A0D73"/>
    <w:rsid w:val="008B180A"/>
    <w:rsid w:val="008B18D5"/>
    <w:rsid w:val="008B4CD5"/>
    <w:rsid w:val="008B718E"/>
    <w:rsid w:val="008C6A96"/>
    <w:rsid w:val="008D3E4C"/>
    <w:rsid w:val="008E56C7"/>
    <w:rsid w:val="008F0F07"/>
    <w:rsid w:val="008F2A13"/>
    <w:rsid w:val="00902878"/>
    <w:rsid w:val="00925069"/>
    <w:rsid w:val="00925C7D"/>
    <w:rsid w:val="00937AAD"/>
    <w:rsid w:val="00967AD8"/>
    <w:rsid w:val="00975CEA"/>
    <w:rsid w:val="00977537"/>
    <w:rsid w:val="00977905"/>
    <w:rsid w:val="009803AD"/>
    <w:rsid w:val="00992BE1"/>
    <w:rsid w:val="00994391"/>
    <w:rsid w:val="009968C5"/>
    <w:rsid w:val="009A12F3"/>
    <w:rsid w:val="009A23AB"/>
    <w:rsid w:val="009C33F1"/>
    <w:rsid w:val="009D180E"/>
    <w:rsid w:val="009D5F52"/>
    <w:rsid w:val="009D728C"/>
    <w:rsid w:val="009D79F4"/>
    <w:rsid w:val="00A00B9C"/>
    <w:rsid w:val="00A0245A"/>
    <w:rsid w:val="00A2101C"/>
    <w:rsid w:val="00A33E8D"/>
    <w:rsid w:val="00A42BA7"/>
    <w:rsid w:val="00A54150"/>
    <w:rsid w:val="00A748DE"/>
    <w:rsid w:val="00A82C90"/>
    <w:rsid w:val="00A87390"/>
    <w:rsid w:val="00AB7CB4"/>
    <w:rsid w:val="00AD4572"/>
    <w:rsid w:val="00AD5EC0"/>
    <w:rsid w:val="00AD7F15"/>
    <w:rsid w:val="00AF3A91"/>
    <w:rsid w:val="00AF79B8"/>
    <w:rsid w:val="00B13E00"/>
    <w:rsid w:val="00B177DF"/>
    <w:rsid w:val="00B208D6"/>
    <w:rsid w:val="00B3113E"/>
    <w:rsid w:val="00B32F4C"/>
    <w:rsid w:val="00B57A05"/>
    <w:rsid w:val="00B63033"/>
    <w:rsid w:val="00B64F18"/>
    <w:rsid w:val="00B705E2"/>
    <w:rsid w:val="00B82B04"/>
    <w:rsid w:val="00B862DF"/>
    <w:rsid w:val="00B92FB1"/>
    <w:rsid w:val="00B946A9"/>
    <w:rsid w:val="00B96799"/>
    <w:rsid w:val="00BA0ECB"/>
    <w:rsid w:val="00BA3E3E"/>
    <w:rsid w:val="00BA5133"/>
    <w:rsid w:val="00BA527D"/>
    <w:rsid w:val="00BC24AF"/>
    <w:rsid w:val="00BD59DD"/>
    <w:rsid w:val="00BF08B1"/>
    <w:rsid w:val="00BF5165"/>
    <w:rsid w:val="00C0321D"/>
    <w:rsid w:val="00C079E1"/>
    <w:rsid w:val="00C10E75"/>
    <w:rsid w:val="00C144D6"/>
    <w:rsid w:val="00C21B90"/>
    <w:rsid w:val="00C31F14"/>
    <w:rsid w:val="00C363C0"/>
    <w:rsid w:val="00C36F9B"/>
    <w:rsid w:val="00C53697"/>
    <w:rsid w:val="00C60A64"/>
    <w:rsid w:val="00C814CD"/>
    <w:rsid w:val="00C97693"/>
    <w:rsid w:val="00CA363D"/>
    <w:rsid w:val="00CC22A9"/>
    <w:rsid w:val="00CC6BBE"/>
    <w:rsid w:val="00CC6EFD"/>
    <w:rsid w:val="00CF3870"/>
    <w:rsid w:val="00CF4B75"/>
    <w:rsid w:val="00D00F9C"/>
    <w:rsid w:val="00D0485C"/>
    <w:rsid w:val="00D1177D"/>
    <w:rsid w:val="00D136C8"/>
    <w:rsid w:val="00D2132D"/>
    <w:rsid w:val="00D22277"/>
    <w:rsid w:val="00D239E7"/>
    <w:rsid w:val="00D265D9"/>
    <w:rsid w:val="00D43A60"/>
    <w:rsid w:val="00D5456A"/>
    <w:rsid w:val="00D54C2A"/>
    <w:rsid w:val="00D76779"/>
    <w:rsid w:val="00D81238"/>
    <w:rsid w:val="00D814DF"/>
    <w:rsid w:val="00D82E59"/>
    <w:rsid w:val="00D90729"/>
    <w:rsid w:val="00DA27E1"/>
    <w:rsid w:val="00DA2CDE"/>
    <w:rsid w:val="00DA4B11"/>
    <w:rsid w:val="00DA4F73"/>
    <w:rsid w:val="00DC18C2"/>
    <w:rsid w:val="00DC28E3"/>
    <w:rsid w:val="00DE72B9"/>
    <w:rsid w:val="00DF5711"/>
    <w:rsid w:val="00DF6493"/>
    <w:rsid w:val="00E014CA"/>
    <w:rsid w:val="00E1100E"/>
    <w:rsid w:val="00E12429"/>
    <w:rsid w:val="00E35DF9"/>
    <w:rsid w:val="00E45FDD"/>
    <w:rsid w:val="00E53F39"/>
    <w:rsid w:val="00E6144F"/>
    <w:rsid w:val="00E636E5"/>
    <w:rsid w:val="00E721CB"/>
    <w:rsid w:val="00E73507"/>
    <w:rsid w:val="00E8163B"/>
    <w:rsid w:val="00E82EAD"/>
    <w:rsid w:val="00E8772C"/>
    <w:rsid w:val="00E90B5F"/>
    <w:rsid w:val="00E93724"/>
    <w:rsid w:val="00E953BE"/>
    <w:rsid w:val="00EB1B20"/>
    <w:rsid w:val="00EB6453"/>
    <w:rsid w:val="00EF0F21"/>
    <w:rsid w:val="00EF16D8"/>
    <w:rsid w:val="00EF7EDA"/>
    <w:rsid w:val="00F40E56"/>
    <w:rsid w:val="00F5284E"/>
    <w:rsid w:val="00F5685A"/>
    <w:rsid w:val="00F628D9"/>
    <w:rsid w:val="00F663F7"/>
    <w:rsid w:val="00F66CF5"/>
    <w:rsid w:val="00F7137E"/>
    <w:rsid w:val="00F72D4C"/>
    <w:rsid w:val="00F74D4F"/>
    <w:rsid w:val="00F7559B"/>
    <w:rsid w:val="00F90273"/>
    <w:rsid w:val="00F90CCA"/>
    <w:rsid w:val="00F92EBF"/>
    <w:rsid w:val="00FB502F"/>
    <w:rsid w:val="00FD1F15"/>
    <w:rsid w:val="00FD5BB0"/>
    <w:rsid w:val="00FD6CFC"/>
    <w:rsid w:val="00FD7FB6"/>
    <w:rsid w:val="00FE19A6"/>
    <w:rsid w:val="00FE52CB"/>
    <w:rsid w:val="00FE7FA9"/>
    <w:rsid w:val="00FF53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6DDE76"/>
  <w15:chartTrackingRefBased/>
  <w15:docId w15:val="{181F9891-6985-4C3B-A954-F0EF1A5E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paragraph" w:styleId="Revision">
    <w:name w:val="Revision"/>
    <w:hidden/>
    <w:uiPriority w:val="99"/>
    <w:semiHidden/>
    <w:rsid w:val="00E6144F"/>
    <w:rPr>
      <w:sz w:val="24"/>
      <w:lang w:val="en-US"/>
    </w:rPr>
  </w:style>
  <w:style w:type="character" w:styleId="CommentReference">
    <w:name w:val="annotation reference"/>
    <w:basedOn w:val="DefaultParagraphFont"/>
    <w:uiPriority w:val="99"/>
    <w:semiHidden/>
    <w:rsid w:val="002A73B3"/>
    <w:rPr>
      <w:sz w:val="16"/>
      <w:szCs w:val="16"/>
    </w:rPr>
  </w:style>
  <w:style w:type="paragraph" w:styleId="CommentText">
    <w:name w:val="annotation text"/>
    <w:basedOn w:val="Normal"/>
    <w:link w:val="CommentTextChar"/>
    <w:uiPriority w:val="99"/>
    <w:semiHidden/>
    <w:rsid w:val="002A73B3"/>
    <w:rPr>
      <w:sz w:val="20"/>
      <w:szCs w:val="20"/>
    </w:rPr>
  </w:style>
  <w:style w:type="character" w:customStyle="1" w:styleId="CommentTextChar">
    <w:name w:val="Comment Text Char"/>
    <w:basedOn w:val="DefaultParagraphFont"/>
    <w:link w:val="CommentText"/>
    <w:uiPriority w:val="99"/>
    <w:semiHidden/>
    <w:rsid w:val="002A73B3"/>
    <w:rPr>
      <w:sz w:val="20"/>
      <w:szCs w:val="20"/>
      <w:lang w:val="en-US"/>
    </w:rPr>
  </w:style>
  <w:style w:type="paragraph" w:styleId="CommentSubject">
    <w:name w:val="annotation subject"/>
    <w:basedOn w:val="CommentText"/>
    <w:next w:val="CommentText"/>
    <w:link w:val="CommentSubjectChar"/>
    <w:uiPriority w:val="99"/>
    <w:semiHidden/>
    <w:unhideWhenUsed/>
    <w:rsid w:val="002A73B3"/>
    <w:rPr>
      <w:b/>
      <w:bCs/>
    </w:rPr>
  </w:style>
  <w:style w:type="character" w:customStyle="1" w:styleId="CommentSubjectChar">
    <w:name w:val="Comment Subject Char"/>
    <w:basedOn w:val="CommentTextChar"/>
    <w:link w:val="CommentSubject"/>
    <w:uiPriority w:val="99"/>
    <w:semiHidden/>
    <w:rsid w:val="002A73B3"/>
    <w:rPr>
      <w:b/>
      <w:bCs/>
      <w:sz w:val="20"/>
      <w:szCs w:val="20"/>
      <w:lang w:val="en-US"/>
    </w:rPr>
  </w:style>
  <w:style w:type="character" w:customStyle="1" w:styleId="Mentionnonrsolue1">
    <w:name w:val="Mention non résolue1"/>
    <w:basedOn w:val="DefaultParagraphFont"/>
    <w:uiPriority w:val="99"/>
    <w:semiHidden/>
    <w:unhideWhenUsed/>
    <w:rsid w:val="00FB502F"/>
    <w:rPr>
      <w:color w:val="605E5C"/>
      <w:shd w:val="clear" w:color="auto" w:fill="E1DFDD"/>
    </w:rPr>
  </w:style>
  <w:style w:type="character" w:styleId="FollowedHyperlink">
    <w:name w:val="FollowedHyperlink"/>
    <w:basedOn w:val="DefaultParagraphFont"/>
    <w:uiPriority w:val="99"/>
    <w:semiHidden/>
    <w:rsid w:val="0026471E"/>
    <w:rPr>
      <w:color w:val="272B35" w:themeColor="followedHyperlink"/>
      <w:u w:val="single"/>
    </w:rPr>
  </w:style>
  <w:style w:type="paragraph" w:customStyle="1" w:styleId="DraftLineWC">
    <w:name w:val="DraftLineW&amp;C"/>
    <w:basedOn w:val="Normal"/>
    <w:uiPriority w:val="99"/>
    <w:semiHidden/>
    <w:rsid w:val="002B24B2"/>
    <w:pPr>
      <w:framePr w:w="5328" w:hSpace="187" w:vSpace="187" w:wrap="around" w:vAnchor="page" w:hAnchor="page" w:x="5761" w:y="721"/>
      <w:spacing w:after="0"/>
      <w:jc w:val="right"/>
    </w:pPr>
    <w:rPr>
      <w:rFonts w:ascii="Times New Roman" w:eastAsia="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023979">
      <w:bodyDiv w:val="1"/>
      <w:marLeft w:val="0"/>
      <w:marRight w:val="0"/>
      <w:marTop w:val="0"/>
      <w:marBottom w:val="0"/>
      <w:divBdr>
        <w:top w:val="none" w:sz="0" w:space="0" w:color="auto"/>
        <w:left w:val="none" w:sz="0" w:space="0" w:color="auto"/>
        <w:bottom w:val="none" w:sz="0" w:space="0" w:color="auto"/>
        <w:right w:val="none" w:sz="0" w:space="0" w:color="auto"/>
      </w:divBdr>
    </w:div>
    <w:div w:id="723722998">
      <w:bodyDiv w:val="1"/>
      <w:marLeft w:val="0"/>
      <w:marRight w:val="0"/>
      <w:marTop w:val="0"/>
      <w:marBottom w:val="0"/>
      <w:divBdr>
        <w:top w:val="none" w:sz="0" w:space="0" w:color="auto"/>
        <w:left w:val="none" w:sz="0" w:space="0" w:color="auto"/>
        <w:bottom w:val="none" w:sz="0" w:space="0" w:color="auto"/>
        <w:right w:val="none" w:sz="0" w:space="0" w:color="auto"/>
      </w:divBdr>
    </w:div>
    <w:div w:id="85492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stellantis.com/en"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3664CCD2AD4979B4C83BA5335883C9"/>
        <w:category>
          <w:name w:val="General"/>
          <w:gallery w:val="placeholder"/>
        </w:category>
        <w:types>
          <w:type w:val="bbPlcHdr"/>
        </w:types>
        <w:behaviors>
          <w:behavior w:val="content"/>
        </w:behaviors>
        <w:guid w:val="{F2A7BCE1-F0EA-4F25-8CCE-919B8095A882}"/>
      </w:docPartPr>
      <w:docPartBody>
        <w:p w:rsidR="002E5869" w:rsidRDefault="00904AA3" w:rsidP="00904AA3">
          <w:pPr>
            <w:pStyle w:val="E13664CCD2AD4979B4C83BA5335883C9"/>
          </w:pPr>
          <w:r w:rsidRPr="0086416D">
            <w:rPr>
              <w:rStyle w:val="PlaceholderText"/>
              <w:b/>
              <w:color w:val="44546A" w:themeColor="text2"/>
            </w:rPr>
            <w:t>First name LAST NAME</w:t>
          </w:r>
        </w:p>
      </w:docPartBody>
    </w:docPart>
    <w:docPart>
      <w:docPartPr>
        <w:name w:val="B9277BC0B15E4B79AE7945F7C624CE25"/>
        <w:category>
          <w:name w:val="General"/>
          <w:gallery w:val="placeholder"/>
        </w:category>
        <w:types>
          <w:type w:val="bbPlcHdr"/>
        </w:types>
        <w:behaviors>
          <w:behavior w:val="content"/>
        </w:behaviors>
        <w:guid w:val="{1FCC4A75-4190-4408-959D-02E4971CCFA3}"/>
      </w:docPartPr>
      <w:docPartBody>
        <w:p w:rsidR="002E5869" w:rsidRDefault="00904AA3" w:rsidP="00904AA3">
          <w:pPr>
            <w:pStyle w:val="B9277BC0B15E4B79AE7945F7C624CE25"/>
          </w:pPr>
          <w:r w:rsidRPr="0086416D">
            <w:rPr>
              <w:rStyle w:val="PlaceholderText"/>
              <w:b/>
              <w:color w:val="44546A" w:themeColor="text2"/>
            </w:rPr>
            <w:t>First name LAST NAME</w:t>
          </w:r>
        </w:p>
      </w:docPartBody>
    </w:docPart>
    <w:docPart>
      <w:docPartPr>
        <w:name w:val="1DCAEABB28964B54A3E1E1C601EAF8CA"/>
        <w:category>
          <w:name w:val="General"/>
          <w:gallery w:val="placeholder"/>
        </w:category>
        <w:types>
          <w:type w:val="bbPlcHdr"/>
        </w:types>
        <w:behaviors>
          <w:behavior w:val="content"/>
        </w:behaviors>
        <w:guid w:val="{04EF1D9C-DDFF-4200-85E3-797D337E319A}"/>
      </w:docPartPr>
      <w:docPartBody>
        <w:p w:rsidR="002E5869" w:rsidRDefault="00904AA3" w:rsidP="00904AA3">
          <w:pPr>
            <w:pStyle w:val="1DCAEABB28964B54A3E1E1C601EAF8CA"/>
          </w:pPr>
          <w:r w:rsidRPr="0086416D">
            <w:rPr>
              <w:rStyle w:val="PlaceholderText"/>
              <w:b/>
              <w:color w:val="44546A" w:themeColor="text2"/>
            </w:rPr>
            <w:t>First name LAST NAME</w:t>
          </w:r>
        </w:p>
      </w:docPartBody>
    </w:docPart>
    <w:docPart>
      <w:docPartPr>
        <w:name w:val="BFCEA3D012E8484C910784CA596FFF9D"/>
        <w:category>
          <w:name w:val="General"/>
          <w:gallery w:val="placeholder"/>
        </w:category>
        <w:types>
          <w:type w:val="bbPlcHdr"/>
        </w:types>
        <w:behaviors>
          <w:behavior w:val="content"/>
        </w:behaviors>
        <w:guid w:val="{C960C1A7-4DBD-42AD-A517-B06CA9F0E0E1}"/>
      </w:docPartPr>
      <w:docPartBody>
        <w:p w:rsidR="002E5869" w:rsidRDefault="00904AA3" w:rsidP="00904AA3">
          <w:pPr>
            <w:pStyle w:val="BFCEA3D012E8484C910784CA596FFF9D"/>
          </w:pPr>
          <w:r w:rsidRPr="0086416D">
            <w:rPr>
              <w:rStyle w:val="PlaceholderText"/>
              <w:b/>
              <w:color w:val="44546A" w:themeColor="text2"/>
            </w:rPr>
            <w:t>First name LAST NAME</w:t>
          </w:r>
        </w:p>
      </w:docPartBody>
    </w:docPart>
    <w:docPart>
      <w:docPartPr>
        <w:name w:val="9A5E45F05C364957A6B992BFAC604BCA"/>
        <w:category>
          <w:name w:val="General"/>
          <w:gallery w:val="placeholder"/>
        </w:category>
        <w:types>
          <w:type w:val="bbPlcHdr"/>
        </w:types>
        <w:behaviors>
          <w:behavior w:val="content"/>
        </w:behaviors>
        <w:guid w:val="{3A87CE22-BE44-4EC5-B671-3597FAC059FD}"/>
      </w:docPartPr>
      <w:docPartBody>
        <w:p w:rsidR="002E5869" w:rsidRDefault="00904AA3" w:rsidP="00904AA3">
          <w:pPr>
            <w:pStyle w:val="9A5E45F05C364957A6B992BFAC604BCA"/>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Encode Sans">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46"/>
    <w:rsid w:val="00040794"/>
    <w:rsid w:val="0006029F"/>
    <w:rsid w:val="00080CF9"/>
    <w:rsid w:val="000E72C3"/>
    <w:rsid w:val="00140488"/>
    <w:rsid w:val="0017027B"/>
    <w:rsid w:val="00286664"/>
    <w:rsid w:val="002C0D46"/>
    <w:rsid w:val="002E5869"/>
    <w:rsid w:val="00303A22"/>
    <w:rsid w:val="00312839"/>
    <w:rsid w:val="00320C69"/>
    <w:rsid w:val="00350F86"/>
    <w:rsid w:val="0035789C"/>
    <w:rsid w:val="003846E1"/>
    <w:rsid w:val="003B479B"/>
    <w:rsid w:val="003E6954"/>
    <w:rsid w:val="004117DE"/>
    <w:rsid w:val="00446CA8"/>
    <w:rsid w:val="00460C52"/>
    <w:rsid w:val="00463C8D"/>
    <w:rsid w:val="004739DE"/>
    <w:rsid w:val="00556BF1"/>
    <w:rsid w:val="0059417C"/>
    <w:rsid w:val="005E3D0B"/>
    <w:rsid w:val="005F2BD3"/>
    <w:rsid w:val="006222F3"/>
    <w:rsid w:val="006533C5"/>
    <w:rsid w:val="006E4496"/>
    <w:rsid w:val="007063D6"/>
    <w:rsid w:val="00711DAD"/>
    <w:rsid w:val="00712010"/>
    <w:rsid w:val="00716827"/>
    <w:rsid w:val="00775A60"/>
    <w:rsid w:val="007814A7"/>
    <w:rsid w:val="00781B1F"/>
    <w:rsid w:val="00787479"/>
    <w:rsid w:val="007E4FE5"/>
    <w:rsid w:val="007E53F2"/>
    <w:rsid w:val="0087101D"/>
    <w:rsid w:val="00871462"/>
    <w:rsid w:val="00896646"/>
    <w:rsid w:val="008B4D03"/>
    <w:rsid w:val="00901F4B"/>
    <w:rsid w:val="00904AA3"/>
    <w:rsid w:val="009139EA"/>
    <w:rsid w:val="00957318"/>
    <w:rsid w:val="00966E45"/>
    <w:rsid w:val="009848C7"/>
    <w:rsid w:val="009B6470"/>
    <w:rsid w:val="009B6A6E"/>
    <w:rsid w:val="009C4A50"/>
    <w:rsid w:val="00A00D69"/>
    <w:rsid w:val="00A2420B"/>
    <w:rsid w:val="00A3776F"/>
    <w:rsid w:val="00A45CBE"/>
    <w:rsid w:val="00A90464"/>
    <w:rsid w:val="00AD6838"/>
    <w:rsid w:val="00AE318E"/>
    <w:rsid w:val="00AF0D92"/>
    <w:rsid w:val="00B328E2"/>
    <w:rsid w:val="00C12EF2"/>
    <w:rsid w:val="00C330AB"/>
    <w:rsid w:val="00CE7CAF"/>
    <w:rsid w:val="00CF4DDB"/>
    <w:rsid w:val="00CF7107"/>
    <w:rsid w:val="00DE2728"/>
    <w:rsid w:val="00E20551"/>
    <w:rsid w:val="00E514B5"/>
    <w:rsid w:val="00E7553B"/>
    <w:rsid w:val="00E83D16"/>
    <w:rsid w:val="00EB4E0A"/>
    <w:rsid w:val="00EC2C2D"/>
    <w:rsid w:val="00ED39D5"/>
    <w:rsid w:val="00F2319B"/>
    <w:rsid w:val="00F46C01"/>
    <w:rsid w:val="00FF0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53F2"/>
  </w:style>
  <w:style w:type="paragraph" w:customStyle="1" w:styleId="E13664CCD2AD4979B4C83BA5335883C9">
    <w:name w:val="E13664CCD2AD4979B4C83BA5335883C9"/>
    <w:rsid w:val="00904AA3"/>
  </w:style>
  <w:style w:type="paragraph" w:customStyle="1" w:styleId="B9277BC0B15E4B79AE7945F7C624CE25">
    <w:name w:val="B9277BC0B15E4B79AE7945F7C624CE25"/>
    <w:rsid w:val="00904AA3"/>
  </w:style>
  <w:style w:type="paragraph" w:customStyle="1" w:styleId="1DCAEABB28964B54A3E1E1C601EAF8CA">
    <w:name w:val="1DCAEABB28964B54A3E1E1C601EAF8CA"/>
    <w:rsid w:val="00904AA3"/>
  </w:style>
  <w:style w:type="paragraph" w:customStyle="1" w:styleId="BFCEA3D012E8484C910784CA596FFF9D">
    <w:name w:val="BFCEA3D012E8484C910784CA596FFF9D"/>
    <w:rsid w:val="00904AA3"/>
  </w:style>
  <w:style w:type="paragraph" w:customStyle="1" w:styleId="9A5E45F05C364957A6B992BFAC604BCA">
    <w:name w:val="9A5E45F05C364957A6B992BFAC604BCA"/>
    <w:rsid w:val="00904A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Stellantis Press Release Word US v6</Template>
  <TotalTime>16</TotalTime>
  <Pages>3</Pages>
  <Words>1260</Words>
  <Characters>7187</Characters>
  <Application>Microsoft Office Word</Application>
  <DocSecurity>0</DocSecurity>
  <Lines>59</Lines>
  <Paragraphs>16</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Press Release US</vt:lpstr>
      <vt:lpstr>Press Release US</vt:lpstr>
      <vt:lpstr>Press Release US</vt:lpstr>
    </vt:vector>
  </TitlesOfParts>
  <Company>Stellantis</Company>
  <LinksUpToDate>false</LinksUpToDate>
  <CharactersWithSpaces>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Connelly Kaileen (FCA)</dc:creator>
  <cp:keywords/>
  <dc:description/>
  <cp:lastModifiedBy>ANGELA CATALDI</cp:lastModifiedBy>
  <cp:revision>4</cp:revision>
  <cp:lastPrinted>2023-03-15T17:46:00Z</cp:lastPrinted>
  <dcterms:created xsi:type="dcterms:W3CDTF">2024-02-28T06:35:00Z</dcterms:created>
  <dcterms:modified xsi:type="dcterms:W3CDTF">2024-02-28T06:59:00Z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2023-02-02T20:29:16Z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b4302e29-4316-4cf6-91d3-5eb35b1ddbbc</vt:lpwstr>
  </property>
  <property fmtid="{D5CDD505-2E9C-101B-9397-08002B2CF9AE}" pid="8" name="MSIP_Label_2fd53d93-3f4c-4b90-b511-bd6bdbb4fba9_ContentBits">
    <vt:lpwstr>0</vt:lpwstr>
  </property>
  <property fmtid="{D5CDD505-2E9C-101B-9397-08002B2CF9AE}" pid="9" name="WCOffice">
    <vt:lpwstr>New York</vt:lpwstr>
  </property>
  <property fmtid="{D5CDD505-2E9C-101B-9397-08002B2CF9AE}" pid="10" name="Language1">
    <vt:lpwstr>English (US)</vt:lpwstr>
  </property>
  <property fmtid="{D5CDD505-2E9C-101B-9397-08002B2CF9AE}" pid="11" name="Office">
    <vt:lpwstr/>
  </property>
  <property fmtid="{D5CDD505-2E9C-101B-9397-08002B2CF9AE}" pid="12" name="DateFormat">
    <vt:lpwstr>MONTH DAY, YEAR</vt:lpwstr>
  </property>
  <property fmtid="{D5CDD505-2E9C-101B-9397-08002B2CF9AE}" pid="13" name="NRT_DocNumber">
    <vt:lpwstr>120502463</vt:lpwstr>
  </property>
  <property fmtid="{D5CDD505-2E9C-101B-9397-08002B2CF9AE}" pid="14" name="NRT_DocVersion">
    <vt:lpwstr>1</vt:lpwstr>
  </property>
  <property fmtid="{D5CDD505-2E9C-101B-9397-08002B2CF9AE}" pid="15" name="NRT_DocName">
    <vt:lpwstr>Draft PR - Launch Share Buy Back program (Consolidated Comments)</vt:lpwstr>
  </property>
  <property fmtid="{D5CDD505-2E9C-101B-9397-08002B2CF9AE}" pid="16" name="NRT_AuthorDescription">
    <vt:lpwstr>Choksi, Alok</vt:lpwstr>
  </property>
  <property fmtid="{D5CDD505-2E9C-101B-9397-08002B2CF9AE}" pid="17" name="NRT_Author">
    <vt:lpwstr>CHOKSAL</vt:lpwstr>
  </property>
  <property fmtid="{D5CDD505-2E9C-101B-9397-08002B2CF9AE}" pid="18" name="NRT_Operator">
    <vt:lpwstr>choksal</vt:lpwstr>
  </property>
  <property fmtid="{D5CDD505-2E9C-101B-9397-08002B2CF9AE}" pid="19" name="NRT_Database">
    <vt:lpwstr>AMERICAS</vt:lpwstr>
  </property>
  <property fmtid="{D5CDD505-2E9C-101B-9397-08002B2CF9AE}" pid="20" name="NRT_ELITE_CLIENT">
    <vt:lpwstr>8888813</vt:lpwstr>
  </property>
  <property fmtid="{D5CDD505-2E9C-101B-9397-08002B2CF9AE}" pid="21" name="NRT_ELITE_MATTER">
    <vt:lpwstr>3260</vt:lpwstr>
  </property>
  <property fmtid="{D5CDD505-2E9C-101B-9397-08002B2CF9AE}" pid="22" name="pDocRef">
    <vt:lpwstr>8888813-3260.CHOKSAL</vt:lpwstr>
  </property>
  <property fmtid="{D5CDD505-2E9C-101B-9397-08002B2CF9AE}" pid="23" name="pDocNumber">
    <vt:lpwstr>120502463_1 [AMERICAS]</vt:lpwstr>
  </property>
</Properties>
</file>