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7859B" w14:textId="77777777" w:rsidR="007F4C9B" w:rsidRDefault="007F4C9B" w:rsidP="001E6C1E">
      <w:pPr>
        <w:pStyle w:val="SSubjectBlock"/>
      </w:pPr>
    </w:p>
    <w:bookmarkStart w:id="0" w:name="_Hlk126266308"/>
    <w:p w14:paraId="6716D25A" w14:textId="33FEB85B" w:rsidR="00896F71" w:rsidRPr="006D00F8" w:rsidRDefault="0086416D" w:rsidP="00896F71">
      <w:pPr>
        <w:pStyle w:val="SSubjectBlock"/>
        <w:rPr>
          <w:lang w:val="fr-FR"/>
        </w:rPr>
      </w:pPr>
      <w:r w:rsidRPr="00BA527D">
        <mc:AlternateContent>
          <mc:Choice Requires="wps">
            <w:drawing>
              <wp:anchor distT="0" distB="0" distL="114300" distR="114300" simplePos="0" relativeHeight="251658240" behindDoc="0" locked="1" layoutInCell="1" allowOverlap="0" wp14:anchorId="42679433" wp14:editId="1AAD449E">
                <wp:simplePos x="0" y="0"/>
                <wp:positionH relativeFrom="column">
                  <wp:posOffset>-1122</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62B1232" id="Freeform 27" o:spid="_x0000_s1026" style="position:absolute;margin-left:-.1pt;margin-top:133.2pt;width:33.85pt;height: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" o:allowoverlap="f" path="m329,39l,39,27,,354,,329,39xe" fillcolor="#243782 [3204]" stroked="f">
                <v:path arrowok="t" o:connecttype="custom" o:connectlocs="399417,64008;0,64008;32779,0;429768,0;399417,64008" o:connectangles="0,0,0,0,0"/>
                <w10:wrap anchory="page"/>
                <w10:anchorlock/>
              </v:shape>
            </w:pict>
          </mc:Fallback>
        </mc:AlternateContent>
      </w:r>
      <w:r w:rsidR="000F2FE8" w:rsidRPr="006D00F8">
        <w:rPr>
          <w:lang w:val="fr-FR"/>
        </w:rPr>
        <w:t xml:space="preserve"> </w:t>
      </w:r>
      <w:r w:rsidR="006D00F8" w:rsidRPr="006D00F8">
        <w:rPr>
          <w:lang w:val="fr-FR"/>
        </w:rPr>
        <w:t>Stellantis approuve un programme de rachat d</w:t>
      </w:r>
      <w:r w:rsidR="00095260">
        <w:rPr>
          <w:lang w:val="fr-FR"/>
        </w:rPr>
        <w:t>’</w:t>
      </w:r>
      <w:r w:rsidR="006D00F8" w:rsidRPr="006D00F8">
        <w:rPr>
          <w:lang w:val="fr-FR"/>
        </w:rPr>
        <w:t>actions</w:t>
      </w:r>
      <w:r w:rsidR="00896F71" w:rsidRPr="006D00F8">
        <w:rPr>
          <w:lang w:val="fr-FR"/>
        </w:rPr>
        <w:t xml:space="preserve"> </w:t>
      </w:r>
    </w:p>
    <w:bookmarkEnd w:id="0"/>
    <w:p w14:paraId="2A8FE032" w14:textId="23542120" w:rsidR="00DF3332" w:rsidRDefault="006D00F8" w:rsidP="006D00F8">
      <w:pPr>
        <w:rPr>
          <w:szCs w:val="24"/>
          <w:lang w:val="fr-FR"/>
        </w:rPr>
      </w:pPr>
      <w:r w:rsidRPr="006D00F8">
        <w:rPr>
          <w:szCs w:val="24"/>
          <w:lang w:val="fr-FR"/>
        </w:rPr>
        <w:t xml:space="preserve">AMSTERDAM, </w:t>
      </w:r>
      <w:r w:rsidR="00DF3332">
        <w:rPr>
          <w:szCs w:val="24"/>
          <w:lang w:val="fr-FR"/>
        </w:rPr>
        <w:t>15</w:t>
      </w:r>
      <w:r w:rsidRPr="006D00F8">
        <w:rPr>
          <w:szCs w:val="24"/>
          <w:lang w:val="fr-FR"/>
        </w:rPr>
        <w:t xml:space="preserve"> février 202</w:t>
      </w:r>
      <w:r w:rsidR="00DF3332">
        <w:rPr>
          <w:szCs w:val="24"/>
          <w:lang w:val="fr-FR"/>
        </w:rPr>
        <w:t>4</w:t>
      </w:r>
      <w:r w:rsidRPr="006D00F8">
        <w:rPr>
          <w:szCs w:val="24"/>
          <w:lang w:val="fr-FR"/>
        </w:rPr>
        <w:t xml:space="preserve"> - Le Conseil d</w:t>
      </w:r>
      <w:r w:rsidR="00095260">
        <w:rPr>
          <w:szCs w:val="24"/>
          <w:lang w:val="fr-FR"/>
        </w:rPr>
        <w:t>’</w:t>
      </w:r>
      <w:r w:rsidRPr="006D00F8">
        <w:rPr>
          <w:szCs w:val="24"/>
          <w:lang w:val="fr-FR"/>
        </w:rPr>
        <w:t xml:space="preserve">administration de </w:t>
      </w:r>
      <w:proofErr w:type="spellStart"/>
      <w:r w:rsidRPr="006D00F8">
        <w:rPr>
          <w:szCs w:val="24"/>
          <w:lang w:val="fr-FR"/>
        </w:rPr>
        <w:t>Stellantis</w:t>
      </w:r>
      <w:proofErr w:type="spellEnd"/>
      <w:r w:rsidRPr="006D00F8">
        <w:rPr>
          <w:szCs w:val="24"/>
          <w:lang w:val="fr-FR"/>
        </w:rPr>
        <w:t xml:space="preserve"> a approuvé un programme de rachat d</w:t>
      </w:r>
      <w:r w:rsidR="006A08BF">
        <w:rPr>
          <w:szCs w:val="24"/>
          <w:lang w:val="fr-FR"/>
        </w:rPr>
        <w:t>’</w:t>
      </w:r>
      <w:r w:rsidRPr="006D00F8">
        <w:rPr>
          <w:szCs w:val="24"/>
          <w:lang w:val="fr-FR"/>
        </w:rPr>
        <w:t>actions d</w:t>
      </w:r>
      <w:r w:rsidR="006A08BF">
        <w:rPr>
          <w:szCs w:val="24"/>
          <w:lang w:val="fr-FR"/>
        </w:rPr>
        <w:t>’</w:t>
      </w:r>
      <w:r w:rsidRPr="006D00F8">
        <w:rPr>
          <w:szCs w:val="24"/>
          <w:lang w:val="fr-FR"/>
        </w:rPr>
        <w:t xml:space="preserve">un montant maximum de </w:t>
      </w:r>
      <w:r w:rsidR="00DF3332">
        <w:rPr>
          <w:szCs w:val="24"/>
          <w:lang w:val="fr-FR"/>
        </w:rPr>
        <w:t>3</w:t>
      </w:r>
      <w:r w:rsidRPr="006D00F8">
        <w:rPr>
          <w:szCs w:val="24"/>
          <w:lang w:val="fr-FR"/>
        </w:rPr>
        <w:t xml:space="preserve"> </w:t>
      </w:r>
      <w:r w:rsidR="00DF3332" w:rsidRPr="006D00F8">
        <w:rPr>
          <w:szCs w:val="24"/>
          <w:lang w:val="fr-FR"/>
        </w:rPr>
        <w:t>milliards</w:t>
      </w:r>
      <w:r w:rsidRPr="006D00F8">
        <w:rPr>
          <w:szCs w:val="24"/>
          <w:lang w:val="fr-FR"/>
        </w:rPr>
        <w:t xml:space="preserve"> d</w:t>
      </w:r>
      <w:r w:rsidR="00095260">
        <w:rPr>
          <w:szCs w:val="24"/>
          <w:lang w:val="fr-FR"/>
        </w:rPr>
        <w:t>’</w:t>
      </w:r>
      <w:r w:rsidRPr="006D00F8">
        <w:rPr>
          <w:szCs w:val="24"/>
          <w:lang w:val="fr-FR"/>
        </w:rPr>
        <w:t>euros (prix d</w:t>
      </w:r>
      <w:r w:rsidR="00095260">
        <w:rPr>
          <w:szCs w:val="24"/>
          <w:lang w:val="fr-FR"/>
        </w:rPr>
        <w:t>’</w:t>
      </w:r>
      <w:r w:rsidRPr="006D00F8">
        <w:rPr>
          <w:szCs w:val="24"/>
          <w:lang w:val="fr-FR"/>
        </w:rPr>
        <w:t>achat total hors frais annexes), à exécuter sur le marché</w:t>
      </w:r>
      <w:r w:rsidR="00F04E9F">
        <w:rPr>
          <w:szCs w:val="24"/>
          <w:lang w:val="fr-FR"/>
        </w:rPr>
        <w:t>.</w:t>
      </w:r>
      <w:r w:rsidRPr="006D00F8">
        <w:rPr>
          <w:szCs w:val="24"/>
          <w:lang w:val="fr-FR"/>
        </w:rPr>
        <w:t xml:space="preserve"> </w:t>
      </w:r>
    </w:p>
    <w:p w14:paraId="23357A12" w14:textId="7546C804" w:rsidR="006D00F8" w:rsidRPr="006D00F8" w:rsidRDefault="00DF3332" w:rsidP="00DF3332">
      <w:pPr>
        <w:rPr>
          <w:szCs w:val="24"/>
          <w:lang w:val="fr-FR"/>
        </w:rPr>
      </w:pPr>
      <w:r>
        <w:rPr>
          <w:szCs w:val="24"/>
          <w:lang w:val="fr-FR"/>
        </w:rPr>
        <w:t xml:space="preserve">La </w:t>
      </w:r>
      <w:r w:rsidR="00D5035F">
        <w:rPr>
          <w:szCs w:val="24"/>
          <w:lang w:val="fr-FR"/>
        </w:rPr>
        <w:t>S</w:t>
      </w:r>
      <w:r>
        <w:rPr>
          <w:szCs w:val="24"/>
          <w:lang w:val="fr-FR"/>
        </w:rPr>
        <w:t xml:space="preserve">ociété envisage </w:t>
      </w:r>
      <w:r w:rsidR="006D00F8" w:rsidRPr="006D00F8">
        <w:rPr>
          <w:szCs w:val="24"/>
          <w:lang w:val="fr-FR"/>
        </w:rPr>
        <w:t>d</w:t>
      </w:r>
      <w:r w:rsidR="00095260">
        <w:rPr>
          <w:szCs w:val="24"/>
          <w:lang w:val="fr-FR"/>
        </w:rPr>
        <w:t>’</w:t>
      </w:r>
      <w:r w:rsidR="006D00F8" w:rsidRPr="006D00F8">
        <w:rPr>
          <w:szCs w:val="24"/>
          <w:lang w:val="fr-FR"/>
        </w:rPr>
        <w:t>annuler les actions ordinaires acquises dans le cadre du programme de rachat d</w:t>
      </w:r>
      <w:r w:rsidR="00095260">
        <w:rPr>
          <w:szCs w:val="24"/>
          <w:lang w:val="fr-FR"/>
        </w:rPr>
        <w:t>’</w:t>
      </w:r>
      <w:r w:rsidR="006D00F8" w:rsidRPr="006D00F8">
        <w:rPr>
          <w:szCs w:val="24"/>
          <w:lang w:val="fr-FR"/>
        </w:rPr>
        <w:t>actions</w:t>
      </w:r>
      <w:r>
        <w:rPr>
          <w:szCs w:val="24"/>
          <w:lang w:val="fr-FR"/>
        </w:rPr>
        <w:t xml:space="preserve"> </w:t>
      </w:r>
      <w:r w:rsidRPr="00DF3332">
        <w:rPr>
          <w:szCs w:val="24"/>
          <w:lang w:val="fr-FR"/>
        </w:rPr>
        <w:t>à l</w:t>
      </w:r>
      <w:r w:rsidR="00A830F7">
        <w:rPr>
          <w:szCs w:val="24"/>
          <w:lang w:val="fr-FR"/>
        </w:rPr>
        <w:t>’</w:t>
      </w:r>
      <w:r w:rsidRPr="00DF3332">
        <w:rPr>
          <w:szCs w:val="24"/>
          <w:lang w:val="fr-FR"/>
        </w:rPr>
        <w:t>exception d</w:t>
      </w:r>
      <w:r w:rsidR="00A830F7">
        <w:rPr>
          <w:szCs w:val="24"/>
          <w:lang w:val="fr-FR"/>
        </w:rPr>
        <w:t>’</w:t>
      </w:r>
      <w:r w:rsidRPr="00DF3332">
        <w:rPr>
          <w:szCs w:val="24"/>
          <w:lang w:val="fr-FR"/>
        </w:rPr>
        <w:t>une partie pouvant atteindre jusqu</w:t>
      </w:r>
      <w:r w:rsidR="00A830F7">
        <w:rPr>
          <w:szCs w:val="24"/>
          <w:lang w:val="fr-FR"/>
        </w:rPr>
        <w:t>’</w:t>
      </w:r>
      <w:r w:rsidRPr="00DF3332">
        <w:rPr>
          <w:szCs w:val="24"/>
          <w:lang w:val="fr-FR"/>
        </w:rPr>
        <w:t>à 0,5</w:t>
      </w:r>
      <w:r w:rsidR="00A830F7">
        <w:rPr>
          <w:szCs w:val="24"/>
          <w:lang w:val="fr-FR"/>
        </w:rPr>
        <w:t> </w:t>
      </w:r>
      <w:r w:rsidRPr="00DF3332">
        <w:rPr>
          <w:szCs w:val="24"/>
          <w:lang w:val="fr-FR"/>
        </w:rPr>
        <w:t>milliard</w:t>
      </w:r>
      <w:r w:rsidR="007F75D4">
        <w:rPr>
          <w:szCs w:val="24"/>
          <w:lang w:val="fr-FR"/>
        </w:rPr>
        <w:t xml:space="preserve"> d’euros</w:t>
      </w:r>
      <w:r w:rsidRPr="00DF3332">
        <w:rPr>
          <w:szCs w:val="24"/>
          <w:lang w:val="fr-FR"/>
        </w:rPr>
        <w:t xml:space="preserve">, </w:t>
      </w:r>
      <w:r>
        <w:rPr>
          <w:szCs w:val="24"/>
          <w:lang w:val="fr-FR"/>
        </w:rPr>
        <w:t xml:space="preserve">qui </w:t>
      </w:r>
      <w:r w:rsidRPr="00DF3332">
        <w:rPr>
          <w:szCs w:val="24"/>
          <w:lang w:val="fr-FR"/>
        </w:rPr>
        <w:t xml:space="preserve">pourront être utilisées pour la rémunération basée sur les </w:t>
      </w:r>
      <w:r>
        <w:rPr>
          <w:szCs w:val="24"/>
          <w:lang w:val="fr-FR"/>
        </w:rPr>
        <w:t>plans d’</w:t>
      </w:r>
      <w:r w:rsidRPr="00DF3332">
        <w:rPr>
          <w:szCs w:val="24"/>
          <w:lang w:val="fr-FR"/>
        </w:rPr>
        <w:t>actions et les plans d</w:t>
      </w:r>
      <w:r w:rsidR="00A830F7">
        <w:rPr>
          <w:szCs w:val="24"/>
          <w:lang w:val="fr-FR"/>
        </w:rPr>
        <w:t>’</w:t>
      </w:r>
      <w:r w:rsidRPr="00DF3332">
        <w:rPr>
          <w:szCs w:val="24"/>
          <w:lang w:val="fr-FR"/>
        </w:rPr>
        <w:t>achat d</w:t>
      </w:r>
      <w:r w:rsidR="00A830F7">
        <w:rPr>
          <w:szCs w:val="24"/>
          <w:lang w:val="fr-FR"/>
        </w:rPr>
        <w:t>’</w:t>
      </w:r>
      <w:r w:rsidRPr="00DF3332">
        <w:rPr>
          <w:szCs w:val="24"/>
          <w:lang w:val="fr-FR"/>
        </w:rPr>
        <w:t>actions pour les employés</w:t>
      </w:r>
      <w:r>
        <w:rPr>
          <w:szCs w:val="24"/>
          <w:lang w:val="fr-FR"/>
        </w:rPr>
        <w:t xml:space="preserve">. </w:t>
      </w:r>
      <w:r w:rsidR="006D00F8" w:rsidRPr="006D00F8">
        <w:rPr>
          <w:szCs w:val="24"/>
          <w:lang w:val="fr-FR"/>
        </w:rPr>
        <w:t>Les actions seront achetées pendant une période se terminant le 31 décembre 202</w:t>
      </w:r>
      <w:r>
        <w:rPr>
          <w:szCs w:val="24"/>
          <w:lang w:val="fr-FR"/>
        </w:rPr>
        <w:t>4</w:t>
      </w:r>
      <w:r w:rsidR="006D00F8" w:rsidRPr="006D00F8">
        <w:rPr>
          <w:szCs w:val="24"/>
          <w:lang w:val="fr-FR"/>
        </w:rPr>
        <w:t xml:space="preserve"> sur le NYSE / Euronext Milan / Euronext Paris</w:t>
      </w:r>
      <w:r>
        <w:rPr>
          <w:szCs w:val="24"/>
          <w:lang w:val="fr-FR"/>
        </w:rPr>
        <w:t xml:space="preserve"> et d’autres </w:t>
      </w:r>
      <w:r w:rsidR="007F75D4">
        <w:rPr>
          <w:szCs w:val="24"/>
          <w:lang w:val="fr-FR"/>
        </w:rPr>
        <w:t>« </w:t>
      </w:r>
      <w:proofErr w:type="spellStart"/>
      <w:r>
        <w:rPr>
          <w:szCs w:val="24"/>
          <w:lang w:val="fr-FR"/>
        </w:rPr>
        <w:t>M</w:t>
      </w:r>
      <w:r w:rsidRPr="00DF3332">
        <w:rPr>
          <w:szCs w:val="24"/>
          <w:lang w:val="fr-FR"/>
        </w:rPr>
        <w:t>ultilateral</w:t>
      </w:r>
      <w:proofErr w:type="spellEnd"/>
      <w:r w:rsidRPr="00DF3332">
        <w:rPr>
          <w:szCs w:val="24"/>
          <w:lang w:val="fr-FR"/>
        </w:rPr>
        <w:t xml:space="preserve"> </w:t>
      </w:r>
      <w:r>
        <w:rPr>
          <w:szCs w:val="24"/>
          <w:lang w:val="fr-FR"/>
        </w:rPr>
        <w:t>T</w:t>
      </w:r>
      <w:r w:rsidRPr="00DF3332">
        <w:rPr>
          <w:szCs w:val="24"/>
          <w:lang w:val="fr-FR"/>
        </w:rPr>
        <w:t xml:space="preserve">rading </w:t>
      </w:r>
      <w:r>
        <w:rPr>
          <w:szCs w:val="24"/>
          <w:lang w:val="fr-FR"/>
        </w:rPr>
        <w:t>F</w:t>
      </w:r>
      <w:r w:rsidRPr="00DF3332">
        <w:rPr>
          <w:szCs w:val="24"/>
          <w:lang w:val="fr-FR"/>
        </w:rPr>
        <w:t>acilities</w:t>
      </w:r>
      <w:r w:rsidR="007F75D4">
        <w:rPr>
          <w:szCs w:val="24"/>
          <w:lang w:val="fr-FR"/>
        </w:rPr>
        <w:t> »</w:t>
      </w:r>
      <w:r>
        <w:rPr>
          <w:szCs w:val="24"/>
          <w:lang w:val="fr-FR"/>
        </w:rPr>
        <w:t>.</w:t>
      </w:r>
    </w:p>
    <w:p w14:paraId="5598D3E3" w14:textId="2F813E38" w:rsidR="006D00F8" w:rsidRPr="006D00F8" w:rsidRDefault="006D00F8" w:rsidP="006D00F8">
      <w:pPr>
        <w:rPr>
          <w:szCs w:val="24"/>
          <w:lang w:val="fr-FR"/>
        </w:rPr>
      </w:pPr>
      <w:r w:rsidRPr="006D00F8">
        <w:rPr>
          <w:szCs w:val="24"/>
          <w:lang w:val="fr-FR"/>
        </w:rPr>
        <w:t>L</w:t>
      </w:r>
      <w:r w:rsidR="00095260">
        <w:rPr>
          <w:szCs w:val="24"/>
          <w:lang w:val="fr-FR"/>
        </w:rPr>
        <w:t>’</w:t>
      </w:r>
      <w:r w:rsidRPr="006D00F8">
        <w:rPr>
          <w:szCs w:val="24"/>
          <w:lang w:val="fr-FR"/>
        </w:rPr>
        <w:t>opportunité de lancer le programme de rachat d</w:t>
      </w:r>
      <w:r w:rsidR="00095260">
        <w:rPr>
          <w:szCs w:val="24"/>
          <w:lang w:val="fr-FR"/>
        </w:rPr>
        <w:t>’</w:t>
      </w:r>
      <w:r w:rsidRPr="006D00F8">
        <w:rPr>
          <w:szCs w:val="24"/>
          <w:lang w:val="fr-FR"/>
        </w:rPr>
        <w:t>actions découle de l</w:t>
      </w:r>
      <w:r w:rsidR="00095260">
        <w:rPr>
          <w:szCs w:val="24"/>
          <w:lang w:val="fr-FR"/>
        </w:rPr>
        <w:t>’</w:t>
      </w:r>
      <w:r w:rsidRPr="006D00F8">
        <w:rPr>
          <w:szCs w:val="24"/>
          <w:lang w:val="fr-FR"/>
        </w:rPr>
        <w:t xml:space="preserve">importante génération de flux de trésorerie de la société et de son bilan solide.  </w:t>
      </w:r>
    </w:p>
    <w:p w14:paraId="63059304" w14:textId="01CB3E93" w:rsidR="006D00F8" w:rsidRPr="006D00F8" w:rsidRDefault="006D00F8" w:rsidP="006D00F8">
      <w:pPr>
        <w:rPr>
          <w:szCs w:val="24"/>
          <w:lang w:val="fr-FR"/>
        </w:rPr>
      </w:pPr>
      <w:r w:rsidRPr="006D00F8">
        <w:rPr>
          <w:szCs w:val="24"/>
          <w:lang w:val="fr-FR"/>
        </w:rPr>
        <w:t>Ces facteurs permettent à la société d</w:t>
      </w:r>
      <w:r w:rsidR="006A08BF">
        <w:rPr>
          <w:szCs w:val="24"/>
          <w:lang w:val="fr-FR"/>
        </w:rPr>
        <w:t>’</w:t>
      </w:r>
      <w:r w:rsidRPr="006D00F8">
        <w:rPr>
          <w:szCs w:val="24"/>
          <w:lang w:val="fr-FR"/>
        </w:rPr>
        <w:t xml:space="preserve">assurer une liquidité adéquate pour faire face à une grande variété </w:t>
      </w:r>
      <w:r w:rsidR="00257AAC">
        <w:rPr>
          <w:szCs w:val="24"/>
          <w:lang w:val="fr-FR"/>
        </w:rPr>
        <w:t>de scénarios</w:t>
      </w:r>
      <w:r w:rsidRPr="006D00F8">
        <w:rPr>
          <w:szCs w:val="24"/>
          <w:lang w:val="fr-FR"/>
        </w:rPr>
        <w:t xml:space="preserve"> économiques et de marché, tout en facilitant un retour de capital attractif pour les actionnaires</w:t>
      </w:r>
      <w:r w:rsidR="00257AAC">
        <w:rPr>
          <w:szCs w:val="24"/>
          <w:lang w:val="fr-FR"/>
        </w:rPr>
        <w:t xml:space="preserve"> </w:t>
      </w:r>
      <w:r w:rsidR="00257AAC" w:rsidRPr="00257AAC">
        <w:rPr>
          <w:szCs w:val="24"/>
          <w:lang w:val="fr-FR"/>
        </w:rPr>
        <w:t xml:space="preserve">et </w:t>
      </w:r>
      <w:r w:rsidR="007F75D4">
        <w:rPr>
          <w:szCs w:val="24"/>
          <w:lang w:val="fr-FR"/>
        </w:rPr>
        <w:t xml:space="preserve">en </w:t>
      </w:r>
      <w:r w:rsidR="00257AAC" w:rsidRPr="00257AAC">
        <w:rPr>
          <w:szCs w:val="24"/>
          <w:lang w:val="fr-FR"/>
        </w:rPr>
        <w:t>accompagn</w:t>
      </w:r>
      <w:r w:rsidR="007F75D4">
        <w:rPr>
          <w:szCs w:val="24"/>
          <w:lang w:val="fr-FR"/>
        </w:rPr>
        <w:t>ant</w:t>
      </w:r>
      <w:r w:rsidR="00257AAC" w:rsidRPr="00257AAC">
        <w:rPr>
          <w:szCs w:val="24"/>
          <w:lang w:val="fr-FR"/>
        </w:rPr>
        <w:t xml:space="preserve"> l</w:t>
      </w:r>
      <w:r w:rsidR="00A830F7">
        <w:rPr>
          <w:szCs w:val="24"/>
          <w:lang w:val="fr-FR"/>
        </w:rPr>
        <w:t>’</w:t>
      </w:r>
      <w:r w:rsidR="00257AAC" w:rsidRPr="00257AAC">
        <w:rPr>
          <w:szCs w:val="24"/>
          <w:lang w:val="fr-FR"/>
        </w:rPr>
        <w:t>extension des plans d</w:t>
      </w:r>
      <w:r w:rsidR="00A830F7">
        <w:rPr>
          <w:szCs w:val="24"/>
          <w:lang w:val="fr-FR"/>
        </w:rPr>
        <w:t>’</w:t>
      </w:r>
      <w:r w:rsidR="00257AAC" w:rsidRPr="00257AAC">
        <w:rPr>
          <w:szCs w:val="24"/>
          <w:lang w:val="fr-FR"/>
        </w:rPr>
        <w:t>actionnariat salarié à plusieurs pays</w:t>
      </w:r>
      <w:r w:rsidR="00257AAC">
        <w:rPr>
          <w:szCs w:val="24"/>
          <w:lang w:val="fr-FR"/>
        </w:rPr>
        <w:t>.</w:t>
      </w:r>
    </w:p>
    <w:p w14:paraId="5486F3E4" w14:textId="7CB4C788" w:rsidR="002D4778" w:rsidRDefault="006D00F8" w:rsidP="006D00F8">
      <w:pPr>
        <w:rPr>
          <w:szCs w:val="24"/>
          <w:lang w:val="fr-FR"/>
        </w:rPr>
      </w:pPr>
      <w:r w:rsidRPr="006D00F8">
        <w:rPr>
          <w:szCs w:val="24"/>
          <w:lang w:val="fr-FR"/>
        </w:rPr>
        <w:t>Le programme de rachat d</w:t>
      </w:r>
      <w:r w:rsidR="00095260">
        <w:rPr>
          <w:szCs w:val="24"/>
          <w:lang w:val="fr-FR"/>
        </w:rPr>
        <w:t>’</w:t>
      </w:r>
      <w:r w:rsidRPr="006D00F8">
        <w:rPr>
          <w:szCs w:val="24"/>
          <w:lang w:val="fr-FR"/>
        </w:rPr>
        <w:t>actions ordinaires sera mis en œuvre sur la base de l</w:t>
      </w:r>
      <w:r w:rsidR="00095260">
        <w:rPr>
          <w:szCs w:val="24"/>
          <w:lang w:val="fr-FR"/>
        </w:rPr>
        <w:t>’</w:t>
      </w:r>
      <w:r w:rsidRPr="006D00F8">
        <w:rPr>
          <w:szCs w:val="24"/>
          <w:lang w:val="fr-FR"/>
        </w:rPr>
        <w:t>autorisation accordée par l</w:t>
      </w:r>
      <w:r w:rsidR="006A08BF">
        <w:rPr>
          <w:szCs w:val="24"/>
          <w:lang w:val="fr-FR"/>
        </w:rPr>
        <w:t>’</w:t>
      </w:r>
      <w:r w:rsidRPr="006D00F8">
        <w:rPr>
          <w:szCs w:val="24"/>
          <w:lang w:val="fr-FR"/>
        </w:rPr>
        <w:t>assemblée générale des actionnaires du 13 avril 202</w:t>
      </w:r>
      <w:r w:rsidR="00257AAC">
        <w:rPr>
          <w:szCs w:val="24"/>
          <w:lang w:val="fr-FR"/>
        </w:rPr>
        <w:t>3</w:t>
      </w:r>
      <w:r w:rsidRPr="006D00F8">
        <w:rPr>
          <w:szCs w:val="24"/>
          <w:lang w:val="fr-FR"/>
        </w:rPr>
        <w:t>, qui pourra être renouvelée ou étendue, jusqu</w:t>
      </w:r>
      <w:r w:rsidR="006A08BF">
        <w:rPr>
          <w:szCs w:val="24"/>
          <w:lang w:val="fr-FR"/>
        </w:rPr>
        <w:t>’</w:t>
      </w:r>
      <w:r w:rsidRPr="006D00F8">
        <w:rPr>
          <w:szCs w:val="24"/>
          <w:lang w:val="fr-FR"/>
        </w:rPr>
        <w:t>à un maximum de 10</w:t>
      </w:r>
      <w:r w:rsidR="00A830F7">
        <w:rPr>
          <w:szCs w:val="24"/>
          <w:lang w:val="fr-FR"/>
        </w:rPr>
        <w:t> </w:t>
      </w:r>
      <w:r w:rsidRPr="006D00F8">
        <w:rPr>
          <w:szCs w:val="24"/>
          <w:lang w:val="fr-FR"/>
        </w:rPr>
        <w:t xml:space="preserve">% du capital social de la société. </w:t>
      </w:r>
      <w:r w:rsidR="002D4778" w:rsidRPr="002D4778">
        <w:rPr>
          <w:szCs w:val="24"/>
          <w:lang w:val="fr-FR"/>
        </w:rPr>
        <w:t>L</w:t>
      </w:r>
      <w:r w:rsidR="00A830F7">
        <w:rPr>
          <w:szCs w:val="24"/>
          <w:lang w:val="fr-FR"/>
        </w:rPr>
        <w:t>’</w:t>
      </w:r>
      <w:r w:rsidR="002D4778" w:rsidRPr="002D4778">
        <w:rPr>
          <w:szCs w:val="24"/>
          <w:lang w:val="fr-FR"/>
        </w:rPr>
        <w:t xml:space="preserve">autorisation accordée le 13 avril 2023 </w:t>
      </w:r>
      <w:r w:rsidR="002D4778">
        <w:rPr>
          <w:szCs w:val="24"/>
          <w:lang w:val="fr-FR"/>
        </w:rPr>
        <w:t xml:space="preserve">couvre encore </w:t>
      </w:r>
      <w:r w:rsidR="002D4778" w:rsidRPr="002D4778">
        <w:rPr>
          <w:szCs w:val="24"/>
          <w:lang w:val="fr-FR"/>
        </w:rPr>
        <w:t>environ 181</w:t>
      </w:r>
      <w:r w:rsidR="00A830F7">
        <w:rPr>
          <w:szCs w:val="24"/>
          <w:lang w:val="fr-FR"/>
        </w:rPr>
        <w:t> </w:t>
      </w:r>
      <w:r w:rsidR="002D4778" w:rsidRPr="002D4778">
        <w:rPr>
          <w:szCs w:val="24"/>
          <w:lang w:val="fr-FR"/>
        </w:rPr>
        <w:t>millions d</w:t>
      </w:r>
      <w:r w:rsidR="00A830F7">
        <w:rPr>
          <w:szCs w:val="24"/>
          <w:lang w:val="fr-FR"/>
        </w:rPr>
        <w:t>’</w:t>
      </w:r>
      <w:r w:rsidR="002D4778" w:rsidRPr="002D4778">
        <w:rPr>
          <w:szCs w:val="24"/>
          <w:lang w:val="fr-FR"/>
        </w:rPr>
        <w:t>actions</w:t>
      </w:r>
      <w:r w:rsidR="002D4778">
        <w:rPr>
          <w:szCs w:val="24"/>
          <w:lang w:val="fr-FR"/>
        </w:rPr>
        <w:t>.</w:t>
      </w:r>
      <w:r w:rsidR="002D4778" w:rsidRPr="002D4778">
        <w:rPr>
          <w:szCs w:val="24"/>
          <w:lang w:val="fr-FR"/>
        </w:rPr>
        <w:t xml:space="preserve"> </w:t>
      </w:r>
      <w:r w:rsidRPr="006D00F8">
        <w:rPr>
          <w:szCs w:val="24"/>
          <w:lang w:val="fr-FR"/>
        </w:rPr>
        <w:t>Le prix d</w:t>
      </w:r>
      <w:r w:rsidR="00095260">
        <w:rPr>
          <w:szCs w:val="24"/>
          <w:lang w:val="fr-FR"/>
        </w:rPr>
        <w:t>’</w:t>
      </w:r>
      <w:r w:rsidRPr="006D00F8">
        <w:rPr>
          <w:szCs w:val="24"/>
          <w:lang w:val="fr-FR"/>
        </w:rPr>
        <w:t>achat par action ordinaire ne dépassera pas un montant égal à 110</w:t>
      </w:r>
      <w:r w:rsidR="00A830F7">
        <w:rPr>
          <w:szCs w:val="24"/>
          <w:lang w:val="fr-FR"/>
        </w:rPr>
        <w:t> </w:t>
      </w:r>
      <w:r w:rsidRPr="006D00F8">
        <w:rPr>
          <w:szCs w:val="24"/>
          <w:lang w:val="fr-FR"/>
        </w:rPr>
        <w:t xml:space="preserve">% du prix de marché des actions sur le NYSE, Euronext Milan ou Euronext Paris. Le prix de marché sera calculé comme étant la moyenne du prix le plus élevé de chacun des cinq jours de bourse précédant la date </w:t>
      </w:r>
      <w:r w:rsidRPr="006D00F8">
        <w:rPr>
          <w:szCs w:val="24"/>
          <w:lang w:val="fr-FR"/>
        </w:rPr>
        <w:lastRenderedPageBreak/>
        <w:t>d</w:t>
      </w:r>
      <w:r w:rsidR="006A08BF">
        <w:rPr>
          <w:szCs w:val="24"/>
          <w:lang w:val="fr-FR"/>
        </w:rPr>
        <w:t>’</w:t>
      </w:r>
      <w:r w:rsidRPr="006D00F8">
        <w:rPr>
          <w:szCs w:val="24"/>
          <w:lang w:val="fr-FR"/>
        </w:rPr>
        <w:t>acquisition, tel qu</w:t>
      </w:r>
      <w:r w:rsidR="00095260">
        <w:rPr>
          <w:szCs w:val="24"/>
          <w:lang w:val="fr-FR"/>
        </w:rPr>
        <w:t>’</w:t>
      </w:r>
      <w:r w:rsidRPr="006D00F8">
        <w:rPr>
          <w:szCs w:val="24"/>
          <w:lang w:val="fr-FR"/>
        </w:rPr>
        <w:t xml:space="preserve">indiqué dans la liste officielle sur le NYSE, Euronext Milan ou Euronext Paris. </w:t>
      </w:r>
    </w:p>
    <w:p w14:paraId="67E5DB57" w14:textId="4526A72D" w:rsidR="006D00F8" w:rsidRPr="006D00F8" w:rsidRDefault="002D4778" w:rsidP="006D00F8">
      <w:pPr>
        <w:rPr>
          <w:szCs w:val="24"/>
          <w:lang w:val="fr-FR"/>
        </w:rPr>
      </w:pPr>
      <w:r w:rsidRPr="002D4778">
        <w:rPr>
          <w:szCs w:val="24"/>
          <w:lang w:val="fr-FR"/>
        </w:rPr>
        <w:t xml:space="preserve">Au 15 février 2024, la Société détenait en </w:t>
      </w:r>
      <w:r>
        <w:rPr>
          <w:szCs w:val="24"/>
          <w:lang w:val="fr-FR"/>
        </w:rPr>
        <w:t>compte propre</w:t>
      </w:r>
      <w:r w:rsidRPr="002D4778">
        <w:rPr>
          <w:szCs w:val="24"/>
          <w:lang w:val="fr-FR"/>
        </w:rPr>
        <w:t xml:space="preserve"> un total de 142</w:t>
      </w:r>
      <w:r w:rsidR="00A830F7">
        <w:rPr>
          <w:szCs w:val="24"/>
          <w:lang w:val="fr-FR"/>
        </w:rPr>
        <w:t> </w:t>
      </w:r>
      <w:r w:rsidRPr="002D4778">
        <w:rPr>
          <w:szCs w:val="24"/>
          <w:lang w:val="fr-FR"/>
        </w:rPr>
        <w:t>090</w:t>
      </w:r>
      <w:r w:rsidR="00A830F7">
        <w:rPr>
          <w:szCs w:val="24"/>
          <w:lang w:val="fr-FR"/>
        </w:rPr>
        <w:t> </w:t>
      </w:r>
      <w:r w:rsidRPr="002D4778">
        <w:rPr>
          <w:szCs w:val="24"/>
          <w:lang w:val="fr-FR"/>
        </w:rPr>
        <w:t>297 actions ordinaires équivalent à 3,52 % du capital</w:t>
      </w:r>
      <w:r>
        <w:rPr>
          <w:szCs w:val="24"/>
          <w:lang w:val="fr-FR"/>
        </w:rPr>
        <w:t xml:space="preserve"> émis</w:t>
      </w:r>
      <w:r w:rsidRPr="002D4778">
        <w:rPr>
          <w:szCs w:val="24"/>
          <w:lang w:val="fr-FR"/>
        </w:rPr>
        <w:t xml:space="preserve"> incluant les actions ordinaires et les actions spéciales avec droit de vote.</w:t>
      </w:r>
    </w:p>
    <w:p w14:paraId="01CED025" w14:textId="769E3DD5" w:rsidR="00BA5133" w:rsidRPr="006D00F8" w:rsidRDefault="006D00F8" w:rsidP="006D00F8">
      <w:pPr>
        <w:rPr>
          <w:szCs w:val="24"/>
          <w:lang w:val="fr-FR"/>
        </w:rPr>
      </w:pPr>
      <w:proofErr w:type="spellStart"/>
      <w:r w:rsidRPr="006D00F8">
        <w:rPr>
          <w:szCs w:val="24"/>
          <w:lang w:val="fr-FR"/>
        </w:rPr>
        <w:t>Stellantis</w:t>
      </w:r>
      <w:proofErr w:type="spellEnd"/>
      <w:r w:rsidRPr="006D00F8">
        <w:rPr>
          <w:szCs w:val="24"/>
          <w:lang w:val="fr-FR"/>
        </w:rPr>
        <w:t xml:space="preserve"> fera régulièrement le point sur le début des rachats et </w:t>
      </w:r>
      <w:r w:rsidR="007F75D4">
        <w:rPr>
          <w:szCs w:val="24"/>
          <w:lang w:val="fr-FR"/>
        </w:rPr>
        <w:t xml:space="preserve">sur le </w:t>
      </w:r>
      <w:r w:rsidRPr="006D00F8">
        <w:rPr>
          <w:szCs w:val="24"/>
          <w:lang w:val="fr-FR"/>
        </w:rPr>
        <w:t xml:space="preserve">programme de rachat via un communiqué de presse </w:t>
      </w:r>
      <w:r w:rsidR="002D4778">
        <w:rPr>
          <w:szCs w:val="24"/>
          <w:lang w:val="fr-FR"/>
        </w:rPr>
        <w:t>déposé dans la section « Finance » du site web de</w:t>
      </w:r>
      <w:r w:rsidRPr="006D00F8">
        <w:rPr>
          <w:szCs w:val="24"/>
          <w:lang w:val="fr-FR"/>
        </w:rPr>
        <w:t xml:space="preserve"> la société</w:t>
      </w:r>
      <w:r w:rsidR="002D4778">
        <w:rPr>
          <w:szCs w:val="24"/>
          <w:lang w:val="fr-FR"/>
        </w:rPr>
        <w:t xml:space="preserve"> sous la rubrique « Informations Bourse et Actionnaires »</w:t>
      </w:r>
      <w:r w:rsidRPr="006D00F8">
        <w:rPr>
          <w:szCs w:val="24"/>
          <w:lang w:val="fr-FR"/>
        </w:rPr>
        <w:t>. Les rachats seront effectués sous réserve des conditions de marché et conformément aux règles et réglementations applicables, notamment le règlement 596/2014 sur les abus de marché et le règlement délégué (UE) 2016/1052 de la Commission.</w:t>
      </w:r>
      <w:r w:rsidR="00BA5133" w:rsidRPr="006D00F8">
        <w:rPr>
          <w:szCs w:val="24"/>
          <w:lang w:val="fr-FR"/>
        </w:rPr>
        <w:t xml:space="preserve"> </w:t>
      </w:r>
    </w:p>
    <w:p w14:paraId="71338CF7" w14:textId="5A135EA2" w:rsidR="000C24E1" w:rsidRPr="00A830F7" w:rsidRDefault="007E72E8" w:rsidP="0026471E">
      <w:pPr>
        <w:jc w:val="center"/>
        <w:rPr>
          <w:lang w:val="fr-FR"/>
        </w:rPr>
      </w:pPr>
      <w:r w:rsidRPr="00A830F7">
        <w:rPr>
          <w:lang w:val="fr-FR"/>
        </w:rPr>
        <w:t>###</w:t>
      </w:r>
    </w:p>
    <w:p w14:paraId="6C1EB323" w14:textId="77777777" w:rsidR="009D49DB" w:rsidRPr="008B70D9" w:rsidRDefault="009D49DB" w:rsidP="009D49DB">
      <w:pPr>
        <w:pStyle w:val="SDatePlace"/>
        <w:jc w:val="both"/>
        <w:rPr>
          <w:b/>
          <w:color w:val="243782" w:themeColor="accent1"/>
          <w:szCs w:val="24"/>
          <w:lang w:val="fr-FR"/>
        </w:rPr>
      </w:pPr>
      <w:r w:rsidRPr="008B70D9">
        <w:rPr>
          <w:b/>
          <w:color w:val="243782" w:themeColor="accent1"/>
          <w:szCs w:val="24"/>
          <w:lang w:val="fr-FR"/>
        </w:rPr>
        <w:t xml:space="preserve">À propos de </w:t>
      </w:r>
      <w:proofErr w:type="spellStart"/>
      <w:r w:rsidRPr="008B70D9">
        <w:rPr>
          <w:b/>
          <w:color w:val="243782" w:themeColor="accent1"/>
          <w:szCs w:val="24"/>
          <w:lang w:val="fr-FR"/>
        </w:rPr>
        <w:t>Stellantis</w:t>
      </w:r>
      <w:proofErr w:type="spellEnd"/>
    </w:p>
    <w:p w14:paraId="70CB392D" w14:textId="77777777" w:rsidR="009D49DB" w:rsidRPr="00D058C4" w:rsidRDefault="009D49DB" w:rsidP="009D49DB">
      <w:pPr>
        <w:spacing w:after="0"/>
        <w:rPr>
          <w:i/>
        </w:rPr>
      </w:pPr>
      <w:proofErr w:type="spellStart"/>
      <w:r w:rsidRPr="002755BF">
        <w:rPr>
          <w:i/>
          <w:lang w:val="fr-FR"/>
        </w:rPr>
        <w:t>Stellantis</w:t>
      </w:r>
      <w:proofErr w:type="spellEnd"/>
      <w:r w:rsidRPr="002755BF">
        <w:rPr>
          <w:i/>
          <w:lang w:val="fr-FR"/>
        </w:rPr>
        <w:t xml:space="preserve"> N.V. (NYSE : STLA</w:t>
      </w:r>
      <w:r>
        <w:rPr>
          <w:i/>
          <w:lang w:val="fr-FR"/>
        </w:rPr>
        <w:t xml:space="preserve"> </w:t>
      </w:r>
      <w:r w:rsidRPr="002755BF">
        <w:rPr>
          <w:i/>
          <w:lang w:val="fr-FR"/>
        </w:rPr>
        <w:t>/ Euronext Milan : STLAM</w:t>
      </w:r>
      <w:r>
        <w:rPr>
          <w:i/>
          <w:lang w:val="fr-FR"/>
        </w:rPr>
        <w:t xml:space="preserve"> </w:t>
      </w:r>
      <w:r w:rsidRPr="002755BF">
        <w:rPr>
          <w:i/>
          <w:lang w:val="fr-FR"/>
        </w:rPr>
        <w:t>/ Euronext Paris : STLAP) est l</w:t>
      </w:r>
      <w:r>
        <w:rPr>
          <w:i/>
          <w:lang w:val="fr-FR"/>
        </w:rPr>
        <w:t>’</w:t>
      </w:r>
      <w:r w:rsidRPr="002755BF">
        <w:rPr>
          <w:i/>
          <w:lang w:val="fr-FR"/>
        </w:rPr>
        <w:t>un des principaux constructeurs automobiles au monde, dont l</w:t>
      </w:r>
      <w:r>
        <w:rPr>
          <w:i/>
          <w:lang w:val="fr-FR"/>
        </w:rPr>
        <w:t>’</w:t>
      </w:r>
      <w:r w:rsidRPr="002755BF">
        <w:rPr>
          <w:i/>
          <w:lang w:val="fr-FR"/>
        </w:rPr>
        <w:t>objectif est d</w:t>
      </w:r>
      <w:r>
        <w:rPr>
          <w:i/>
          <w:lang w:val="fr-FR"/>
        </w:rPr>
        <w:t>’</w:t>
      </w:r>
      <w:r w:rsidRPr="002755BF">
        <w:rPr>
          <w:i/>
          <w:lang w:val="fr-FR"/>
        </w:rPr>
        <w:t xml:space="preserve">offrir à tous une liberté de mobilité propre, sûre et abordable. Connu pour son portefeuille unique de marques emblématiques et innovantes, notamment </w:t>
      </w:r>
      <w:proofErr w:type="spellStart"/>
      <w:r w:rsidRPr="002755BF">
        <w:rPr>
          <w:i/>
          <w:lang w:val="fr-FR"/>
        </w:rPr>
        <w:t>Abarth</w:t>
      </w:r>
      <w:proofErr w:type="spellEnd"/>
      <w:r w:rsidRPr="002755BF">
        <w:rPr>
          <w:i/>
          <w:lang w:val="fr-FR"/>
        </w:rPr>
        <w:t>, Alfa Romeo, Chrysler, Citroën, Dodge, DS Automobiles, Fiat, Jeep</w:t>
      </w:r>
      <w:r w:rsidRPr="00A865DB">
        <w:rPr>
          <w:i/>
          <w:vertAlign w:val="subscript"/>
          <w:lang w:val="fr-FR"/>
        </w:rPr>
        <w:t>®</w:t>
      </w:r>
      <w:r w:rsidRPr="002755BF">
        <w:rPr>
          <w:i/>
          <w:lang w:val="fr-FR"/>
        </w:rPr>
        <w:t xml:space="preserve">, Lancia, Maserati, Opel, Peugeot, Ram, Vauxhall, Free2move et </w:t>
      </w:r>
      <w:proofErr w:type="spellStart"/>
      <w:r w:rsidRPr="002755BF">
        <w:rPr>
          <w:i/>
          <w:lang w:val="fr-FR"/>
        </w:rPr>
        <w:t>Leasys</w:t>
      </w:r>
      <w:proofErr w:type="spellEnd"/>
      <w:r w:rsidRPr="002755BF">
        <w:rPr>
          <w:i/>
          <w:lang w:val="fr-FR"/>
        </w:rPr>
        <w:t xml:space="preserve">. </w:t>
      </w:r>
      <w:proofErr w:type="spellStart"/>
      <w:r w:rsidRPr="002755BF">
        <w:rPr>
          <w:i/>
          <w:lang w:val="fr-FR"/>
        </w:rPr>
        <w:t>Stellantis</w:t>
      </w:r>
      <w:proofErr w:type="spellEnd"/>
      <w:r w:rsidRPr="002755BF">
        <w:rPr>
          <w:i/>
          <w:lang w:val="fr-FR"/>
        </w:rPr>
        <w:t xml:space="preserve"> est aujourd’hui dans la mise en œuvre de son plan stratégique audacieux Dare </w:t>
      </w:r>
      <w:proofErr w:type="spellStart"/>
      <w:r w:rsidRPr="002755BF">
        <w:rPr>
          <w:i/>
          <w:lang w:val="fr-FR"/>
        </w:rPr>
        <w:t>Forward</w:t>
      </w:r>
      <w:proofErr w:type="spellEnd"/>
      <w:r w:rsidRPr="002755BF">
        <w:rPr>
          <w:i/>
          <w:lang w:val="fr-FR"/>
        </w:rPr>
        <w:t xml:space="preserve"> 2030, afin de devenir une </w:t>
      </w:r>
      <w:r>
        <w:rPr>
          <w:i/>
          <w:lang w:val="fr-FR"/>
        </w:rPr>
        <w:t>‘</w:t>
      </w:r>
      <w:r w:rsidRPr="002755BF">
        <w:rPr>
          <w:i/>
          <w:lang w:val="fr-FR"/>
        </w:rPr>
        <w:t xml:space="preserve">tech </w:t>
      </w:r>
      <w:proofErr w:type="spellStart"/>
      <w:r w:rsidRPr="002755BF">
        <w:rPr>
          <w:i/>
          <w:lang w:val="fr-FR"/>
        </w:rPr>
        <w:t>company</w:t>
      </w:r>
      <w:proofErr w:type="spellEnd"/>
      <w:r w:rsidRPr="002755BF">
        <w:rPr>
          <w:i/>
          <w:lang w:val="fr-FR"/>
        </w:rPr>
        <w:t>’ de mobilité et d’atteindre la neutralité carbone d</w:t>
      </w:r>
      <w:r>
        <w:rPr>
          <w:i/>
          <w:lang w:val="fr-FR"/>
        </w:rPr>
        <w:t>’</w:t>
      </w:r>
      <w:r w:rsidRPr="002755BF">
        <w:rPr>
          <w:i/>
          <w:lang w:val="fr-FR"/>
        </w:rPr>
        <w:t xml:space="preserve">ici à 2038, tout en créant de la valeur ajoutée pour l’ensemble des parties prenantes. </w:t>
      </w:r>
      <w:r w:rsidRPr="00D058C4">
        <w:rPr>
          <w:i/>
        </w:rPr>
        <w:t xml:space="preserve">Pour </w:t>
      </w:r>
      <w:proofErr w:type="spellStart"/>
      <w:r w:rsidRPr="00D058C4">
        <w:rPr>
          <w:i/>
        </w:rPr>
        <w:t>en</w:t>
      </w:r>
      <w:proofErr w:type="spellEnd"/>
      <w:r w:rsidRPr="00D058C4">
        <w:rPr>
          <w:i/>
        </w:rPr>
        <w:t xml:space="preserve"> savoir plus: </w:t>
      </w:r>
      <w:hyperlink r:id="rId7">
        <w:r w:rsidRPr="00D058C4">
          <w:rPr>
            <w:rStyle w:val="Hyperlink"/>
            <w:i/>
          </w:rPr>
          <w:t>www.stellantis.com</w:t>
        </w:r>
      </w:hyperlink>
    </w:p>
    <w:tbl>
      <w:tblPr>
        <w:tblStyle w:val="TableGrid"/>
        <w:tblW w:w="613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0"/>
        <w:gridCol w:w="1794"/>
        <w:gridCol w:w="623"/>
        <w:gridCol w:w="1508"/>
        <w:gridCol w:w="616"/>
        <w:gridCol w:w="1495"/>
        <w:gridCol w:w="663"/>
        <w:gridCol w:w="1953"/>
        <w:gridCol w:w="789"/>
        <w:gridCol w:w="482"/>
      </w:tblGrid>
      <w:tr w:rsidR="009D49DB" w:rsidRPr="006279C9" w14:paraId="4B7B18C0" w14:textId="77777777" w:rsidTr="00C51269">
        <w:trPr>
          <w:trHeight w:val="729"/>
        </w:trPr>
        <w:tc>
          <w:tcPr>
            <w:tcW w:w="360" w:type="dxa"/>
            <w:vAlign w:val="center"/>
          </w:tcPr>
          <w:p w14:paraId="3F5D701B" w14:textId="77777777" w:rsidR="009D49DB" w:rsidRPr="006279C9" w:rsidRDefault="009D49DB" w:rsidP="00C51269">
            <w:pPr>
              <w:spacing w:after="0"/>
              <w:jc w:val="left"/>
              <w:rPr>
                <w:color w:val="243782" w:themeColor="text2"/>
                <w:sz w:val="22"/>
                <w:szCs w:val="22"/>
              </w:rPr>
            </w:pPr>
            <w:r w:rsidRPr="004F7494">
              <w:rPr>
                <w:noProof/>
              </w:rPr>
              <w:drawing>
                <wp:anchor distT="0" distB="0" distL="114300" distR="114300" simplePos="0" relativeHeight="251663360" behindDoc="0" locked="0" layoutInCell="1" allowOverlap="1" wp14:anchorId="729F3853" wp14:editId="6140BB3E">
                  <wp:simplePos x="0" y="0"/>
                  <wp:positionH relativeFrom="column">
                    <wp:posOffset>0</wp:posOffset>
                  </wp:positionH>
                  <wp:positionV relativeFrom="paragraph">
                    <wp:posOffset>-132080</wp:posOffset>
                  </wp:positionV>
                  <wp:extent cx="274955" cy="274955"/>
                  <wp:effectExtent l="0" t="0" r="0" b="0"/>
                  <wp:wrapNone/>
                  <wp:docPr id="18" name="Image 18" descr="Une image contenant symbole, logo, cercl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symbole, logo, cercle, Police&#10;&#10;Description générée automatiquement"/>
                          <pic:cNvPicPr>
                            <a:picLocks noChangeAspect="1"/>
                          </pic:cNvPicPr>
                        </pic:nvPicPr>
                        <pic:blipFill>
                          <a:blip r:embed="rId8"/>
                          <a:stretch>
                            <a:fillRect/>
                          </a:stretch>
                        </pic:blipFill>
                        <pic:spPr>
                          <a:xfrm>
                            <a:off x="0" y="0"/>
                            <a:ext cx="274955" cy="274955"/>
                          </a:xfrm>
                          <a:prstGeom prst="rect">
                            <a:avLst/>
                          </a:prstGeom>
                        </pic:spPr>
                      </pic:pic>
                    </a:graphicData>
                  </a:graphic>
                  <wp14:sizeRelH relativeFrom="page">
                    <wp14:pctWidth>0</wp14:pctWidth>
                  </wp14:sizeRelH>
                  <wp14:sizeRelV relativeFrom="page">
                    <wp14:pctHeight>0</wp14:pctHeight>
                  </wp14:sizeRelV>
                </wp:anchor>
              </w:drawing>
            </w:r>
          </w:p>
        </w:tc>
        <w:tc>
          <w:tcPr>
            <w:tcW w:w="1794" w:type="dxa"/>
          </w:tcPr>
          <w:p w14:paraId="7EA27FEA" w14:textId="0C593BAC" w:rsidR="009D49DB" w:rsidRPr="006279C9" w:rsidRDefault="009D49DB" w:rsidP="00C51269">
            <w:pPr>
              <w:spacing w:before="120" w:after="0"/>
              <w:jc w:val="left"/>
              <w:rPr>
                <w:color w:val="243782" w:themeColor="text2"/>
                <w:sz w:val="22"/>
                <w:szCs w:val="22"/>
              </w:rPr>
            </w:pPr>
            <w:r>
              <w:rPr>
                <w:color w:val="243782" w:themeColor="text2"/>
                <w:sz w:val="22"/>
                <w:szCs w:val="22"/>
              </w:rPr>
              <w:t xml:space="preserve"> </w:t>
            </w:r>
            <w:r w:rsidR="002D7AF0">
              <w:rPr>
                <w:color w:val="243782" w:themeColor="text2"/>
                <w:sz w:val="22"/>
                <w:szCs w:val="22"/>
              </w:rPr>
              <w:t xml:space="preserve"> </w:t>
            </w:r>
            <w:hyperlink r:id="rId9" w:history="1">
              <w:r w:rsidRPr="00B3600B">
                <w:rPr>
                  <w:rStyle w:val="Hyperlink"/>
                  <w:sz w:val="22"/>
                  <w:szCs w:val="22"/>
                </w:rPr>
                <w:t>@Stellantis</w:t>
              </w:r>
            </w:hyperlink>
          </w:p>
        </w:tc>
        <w:tc>
          <w:tcPr>
            <w:tcW w:w="623" w:type="dxa"/>
            <w:vAlign w:val="center"/>
          </w:tcPr>
          <w:p w14:paraId="3B12387B" w14:textId="77777777" w:rsidR="009D49DB" w:rsidRPr="006279C9" w:rsidRDefault="009D49DB" w:rsidP="00C51269">
            <w:pPr>
              <w:spacing w:after="0"/>
              <w:jc w:val="left"/>
              <w:rPr>
                <w:color w:val="243782" w:themeColor="text2"/>
                <w:sz w:val="22"/>
                <w:szCs w:val="22"/>
              </w:rPr>
            </w:pPr>
            <w:r>
              <w:rPr>
                <w:noProof/>
                <w:color w:val="243782" w:themeColor="text2"/>
                <w:sz w:val="22"/>
                <w:szCs w:val="22"/>
                <w:shd w:val="clear" w:color="auto" w:fill="E6E6E6"/>
              </w:rPr>
              <w:drawing>
                <wp:anchor distT="0" distB="0" distL="114300" distR="114300" simplePos="0" relativeHeight="251660288" behindDoc="1" locked="0" layoutInCell="1" allowOverlap="1" wp14:anchorId="0B5C135E" wp14:editId="665FA874">
                  <wp:simplePos x="0" y="0"/>
                  <wp:positionH relativeFrom="column">
                    <wp:posOffset>-379730</wp:posOffset>
                  </wp:positionH>
                  <wp:positionV relativeFrom="paragraph">
                    <wp:posOffset>-73025</wp:posOffset>
                  </wp:positionV>
                  <wp:extent cx="292735" cy="292735"/>
                  <wp:effectExtent l="0" t="0" r="0" b="0"/>
                  <wp:wrapTight wrapText="bothSides">
                    <wp:wrapPolygon edited="0">
                      <wp:start x="1406" y="0"/>
                      <wp:lineTo x="0" y="4217"/>
                      <wp:lineTo x="0" y="15462"/>
                      <wp:lineTo x="1406" y="19679"/>
                      <wp:lineTo x="16868" y="19679"/>
                      <wp:lineTo x="19679" y="12651"/>
                      <wp:lineTo x="19679" y="4217"/>
                      <wp:lineTo x="16868" y="0"/>
                      <wp:lineTo x="1406"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08" w:type="dxa"/>
          </w:tcPr>
          <w:p w14:paraId="450DA5EB" w14:textId="77777777" w:rsidR="009D49DB" w:rsidRPr="006279C9" w:rsidRDefault="00000000" w:rsidP="00C51269">
            <w:pPr>
              <w:spacing w:before="120" w:after="0"/>
              <w:jc w:val="left"/>
              <w:rPr>
                <w:color w:val="243782" w:themeColor="text2"/>
                <w:sz w:val="22"/>
                <w:szCs w:val="22"/>
              </w:rPr>
            </w:pPr>
            <w:hyperlink r:id="rId11" w:history="1">
              <w:proofErr w:type="spellStart"/>
              <w:r w:rsidR="009D49DB" w:rsidRPr="00B3600B">
                <w:rPr>
                  <w:rStyle w:val="Hyperlink"/>
                  <w:sz w:val="22"/>
                  <w:szCs w:val="22"/>
                </w:rPr>
                <w:t>Stellantis</w:t>
              </w:r>
              <w:proofErr w:type="spellEnd"/>
            </w:hyperlink>
          </w:p>
        </w:tc>
        <w:tc>
          <w:tcPr>
            <w:tcW w:w="616" w:type="dxa"/>
            <w:vAlign w:val="center"/>
          </w:tcPr>
          <w:p w14:paraId="37A2FD0A" w14:textId="77777777" w:rsidR="009D49DB" w:rsidRPr="006279C9" w:rsidRDefault="009D49DB" w:rsidP="00C51269">
            <w:pPr>
              <w:spacing w:after="0"/>
              <w:jc w:val="left"/>
              <w:rPr>
                <w:color w:val="243782" w:themeColor="text2"/>
                <w:sz w:val="22"/>
                <w:szCs w:val="22"/>
              </w:rPr>
            </w:pPr>
            <w:r>
              <w:rPr>
                <w:noProof/>
                <w:color w:val="243782" w:themeColor="text2"/>
                <w:sz w:val="22"/>
                <w:szCs w:val="22"/>
                <w:shd w:val="clear" w:color="auto" w:fill="E6E6E6"/>
              </w:rPr>
              <w:drawing>
                <wp:anchor distT="0" distB="0" distL="114300" distR="114300" simplePos="0" relativeHeight="251661312" behindDoc="1" locked="0" layoutInCell="1" allowOverlap="1" wp14:anchorId="7ECE69E4" wp14:editId="4FC1446A">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95" w:type="dxa"/>
          </w:tcPr>
          <w:p w14:paraId="02D24C37" w14:textId="77777777" w:rsidR="009D49DB" w:rsidRPr="006279C9" w:rsidRDefault="00000000" w:rsidP="00C51269">
            <w:pPr>
              <w:spacing w:before="120" w:after="0"/>
              <w:jc w:val="left"/>
              <w:rPr>
                <w:color w:val="243782" w:themeColor="text2"/>
                <w:sz w:val="22"/>
                <w:szCs w:val="22"/>
              </w:rPr>
            </w:pPr>
            <w:hyperlink r:id="rId13" w:history="1">
              <w:proofErr w:type="spellStart"/>
              <w:r w:rsidR="009D49DB" w:rsidRPr="00B3600B">
                <w:rPr>
                  <w:rStyle w:val="Hyperlink"/>
                  <w:sz w:val="22"/>
                  <w:szCs w:val="22"/>
                </w:rPr>
                <w:t>Stellantis</w:t>
              </w:r>
              <w:proofErr w:type="spellEnd"/>
            </w:hyperlink>
          </w:p>
        </w:tc>
        <w:tc>
          <w:tcPr>
            <w:tcW w:w="663" w:type="dxa"/>
            <w:vAlign w:val="center"/>
          </w:tcPr>
          <w:p w14:paraId="58C29CD1" w14:textId="77777777" w:rsidR="009D49DB" w:rsidRPr="006279C9" w:rsidRDefault="009D49DB" w:rsidP="00C51269">
            <w:pPr>
              <w:spacing w:after="0"/>
              <w:jc w:val="left"/>
              <w:rPr>
                <w:color w:val="243782" w:themeColor="text2"/>
                <w:sz w:val="22"/>
                <w:szCs w:val="22"/>
              </w:rPr>
            </w:pPr>
            <w:r>
              <w:rPr>
                <w:noProof/>
                <w:color w:val="243782" w:themeColor="text2"/>
                <w:sz w:val="22"/>
                <w:szCs w:val="22"/>
                <w:shd w:val="clear" w:color="auto" w:fill="E6E6E6"/>
              </w:rPr>
              <w:drawing>
                <wp:anchor distT="0" distB="0" distL="114300" distR="114300" simplePos="0" relativeHeight="251662336" behindDoc="1" locked="0" layoutInCell="1" allowOverlap="1" wp14:anchorId="446A88A0" wp14:editId="46082E1A">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42" w:type="dxa"/>
            <w:gridSpan w:val="2"/>
          </w:tcPr>
          <w:p w14:paraId="3D06D8AB" w14:textId="77777777" w:rsidR="009D49DB" w:rsidRPr="006279C9" w:rsidRDefault="00000000" w:rsidP="00C51269">
            <w:pPr>
              <w:spacing w:before="120" w:after="0"/>
              <w:jc w:val="left"/>
              <w:rPr>
                <w:color w:val="243782" w:themeColor="text2"/>
                <w:sz w:val="22"/>
                <w:szCs w:val="22"/>
              </w:rPr>
            </w:pPr>
            <w:hyperlink r:id="rId15" w:history="1">
              <w:proofErr w:type="spellStart"/>
              <w:r w:rsidR="009D49DB" w:rsidRPr="00B3600B">
                <w:rPr>
                  <w:rStyle w:val="Hyperlink"/>
                  <w:sz w:val="22"/>
                  <w:szCs w:val="22"/>
                </w:rPr>
                <w:t>Stellantis</w:t>
              </w:r>
              <w:proofErr w:type="spellEnd"/>
            </w:hyperlink>
          </w:p>
        </w:tc>
        <w:tc>
          <w:tcPr>
            <w:tcW w:w="482" w:type="dxa"/>
          </w:tcPr>
          <w:p w14:paraId="4AB2E153" w14:textId="77777777" w:rsidR="009D49DB" w:rsidRDefault="009D49DB" w:rsidP="00C51269">
            <w:pPr>
              <w:spacing w:before="120" w:after="0"/>
              <w:jc w:val="left"/>
              <w:rPr>
                <w:color w:val="243782" w:themeColor="text2"/>
                <w:sz w:val="22"/>
                <w:szCs w:val="22"/>
              </w:rPr>
            </w:pPr>
          </w:p>
        </w:tc>
      </w:tr>
      <w:tr w:rsidR="009D49DB" w:rsidRPr="002D7AF0" w14:paraId="2CB33905" w14:textId="77777777" w:rsidTr="00C51269">
        <w:tblPrEx>
          <w:tblCellMar>
            <w:right w:w="57" w:type="dxa"/>
          </w:tblCellMar>
        </w:tblPrEx>
        <w:trPr>
          <w:gridAfter w:val="2"/>
          <w:wAfter w:w="1271" w:type="dxa"/>
          <w:trHeight w:val="3150"/>
        </w:trPr>
        <w:tc>
          <w:tcPr>
            <w:tcW w:w="9012" w:type="dxa"/>
            <w:gridSpan w:val="8"/>
          </w:tcPr>
          <w:p w14:paraId="4C71514B" w14:textId="77777777" w:rsidR="009D49DB" w:rsidRPr="003E586B" w:rsidRDefault="009D49DB" w:rsidP="00C51269">
            <w:pPr>
              <w:rPr>
                <w:sz w:val="22"/>
                <w:szCs w:val="22"/>
                <w:lang w:val="fr-FR"/>
              </w:rPr>
            </w:pPr>
            <w:r w:rsidRPr="003E586B">
              <w:rPr>
                <w:noProof/>
                <w:sz w:val="22"/>
                <w:szCs w:val="22"/>
                <w:lang w:val="fr-FR" w:eastAsia="fr-FR"/>
              </w:rPr>
              <mc:AlternateContent>
                <mc:Choice Requires="wps">
                  <w:drawing>
                    <wp:inline distT="0" distB="0" distL="0" distR="0" wp14:anchorId="42DD7C54" wp14:editId="45F77709">
                      <wp:extent cx="432000" cy="61913"/>
                      <wp:effectExtent l="0" t="0" r="6350" b="0"/>
                      <wp:docPr id="1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09B5F967"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32489864" w14:textId="77777777" w:rsidR="009D49DB" w:rsidRPr="000C77DB" w:rsidRDefault="009D49DB" w:rsidP="00C51269">
            <w:pPr>
              <w:pStyle w:val="SContact-Title"/>
              <w:rPr>
                <w:lang w:val="fr-FR"/>
              </w:rPr>
            </w:pPr>
            <w:r w:rsidRPr="000C77DB">
              <w:rPr>
                <w:lang w:val="fr-FR"/>
              </w:rPr>
              <w:t>Pour plus d’informations, merci de contacter :</w:t>
            </w:r>
          </w:p>
          <w:p w14:paraId="260B0E9E" w14:textId="77777777" w:rsidR="009D49DB" w:rsidRPr="000C77DB" w:rsidRDefault="00000000" w:rsidP="00C51269">
            <w:pPr>
              <w:pStyle w:val="SContact-Sendersinfo"/>
              <w:rPr>
                <w:sz w:val="22"/>
                <w:szCs w:val="22"/>
                <w:lang w:val="es-ES"/>
              </w:rPr>
            </w:pPr>
            <w:sdt>
              <w:sdtPr>
                <w:rPr>
                  <w:sz w:val="22"/>
                  <w:szCs w:val="22"/>
                </w:rPr>
                <w:id w:val="2032063543"/>
                <w:placeholder>
                  <w:docPart w:val="09BCFC6F746A442F9133C3378984071D"/>
                </w:placeholder>
              </w:sdtPr>
              <w:sdtContent>
                <w:proofErr w:type="spellStart"/>
                <w:r w:rsidR="009D49DB" w:rsidRPr="000C77DB">
                  <w:rPr>
                    <w:sz w:val="22"/>
                    <w:szCs w:val="22"/>
                    <w:lang w:val="es-ES"/>
                  </w:rPr>
                  <w:t>Fernão</w:t>
                </w:r>
                <w:proofErr w:type="spellEnd"/>
                <w:r w:rsidR="009D49DB" w:rsidRPr="000C77DB">
                  <w:rPr>
                    <w:sz w:val="22"/>
                    <w:szCs w:val="22"/>
                    <w:lang w:val="es-ES"/>
                  </w:rPr>
                  <w:t xml:space="preserve"> SILVEIRA</w:t>
                </w:r>
              </w:sdtContent>
            </w:sdt>
            <w:r w:rsidR="009D49DB" w:rsidRPr="000C77DB">
              <w:rPr>
                <w:sz w:val="22"/>
                <w:szCs w:val="22"/>
                <w:lang w:val="es-ES"/>
              </w:rPr>
              <w:t xml:space="preserve"> </w:t>
            </w:r>
            <w:sdt>
              <w:sdtPr>
                <w:rPr>
                  <w:sz w:val="22"/>
                  <w:szCs w:val="22"/>
                </w:rPr>
                <w:id w:val="-1258291971"/>
                <w:placeholder>
                  <w:docPart w:val="F0D889D3F2D441E080ED23DBEED70ABD"/>
                </w:placeholder>
              </w:sdtPr>
              <w:sdtContent>
                <w:r w:rsidR="009D49DB" w:rsidRPr="000C77DB">
                  <w:rPr>
                    <w:rFonts w:asciiTheme="minorHAnsi" w:hAnsiTheme="minorHAnsi"/>
                    <w:sz w:val="22"/>
                    <w:szCs w:val="22"/>
                    <w:lang w:val="es-ES"/>
                  </w:rPr>
                  <w:t>+31 6 43 25 43 41 – fernao.silveira@stellantis.com</w:t>
                </w:r>
              </w:sdtContent>
            </w:sdt>
          </w:p>
          <w:p w14:paraId="113C9885" w14:textId="77777777" w:rsidR="009D49DB" w:rsidRPr="005F74BC" w:rsidRDefault="00000000" w:rsidP="00C51269">
            <w:pPr>
              <w:pStyle w:val="SContact-Sendersinfo"/>
              <w:rPr>
                <w:sz w:val="22"/>
                <w:szCs w:val="22"/>
                <w:lang w:val="fr-FR"/>
              </w:rPr>
            </w:pPr>
            <w:sdt>
              <w:sdtPr>
                <w:rPr>
                  <w:sz w:val="22"/>
                  <w:szCs w:val="22"/>
                </w:rPr>
                <w:id w:val="-241802051"/>
                <w:placeholder>
                  <w:docPart w:val="DDDAF2765242473087631C3F5DDC3C87"/>
                </w:placeholder>
              </w:sdtPr>
              <w:sdtContent>
                <w:r w:rsidR="009D49DB" w:rsidRPr="005F74BC">
                  <w:rPr>
                    <w:sz w:val="22"/>
                    <w:szCs w:val="22"/>
                    <w:lang w:val="fr-FR"/>
                  </w:rPr>
                  <w:t>Nathalie ROUSSEL</w:t>
                </w:r>
              </w:sdtContent>
            </w:sdt>
            <w:r w:rsidR="009D49DB" w:rsidRPr="005F74BC">
              <w:rPr>
                <w:sz w:val="22"/>
                <w:szCs w:val="22"/>
                <w:lang w:val="fr-FR"/>
              </w:rPr>
              <w:t xml:space="preserve"> </w:t>
            </w:r>
            <w:sdt>
              <w:sdtPr>
                <w:rPr>
                  <w:sz w:val="22"/>
                  <w:szCs w:val="22"/>
                </w:rPr>
                <w:id w:val="60838379"/>
                <w:placeholder>
                  <w:docPart w:val="FB3C40B5509E440BAD52D40E44C44358"/>
                </w:placeholder>
              </w:sdtPr>
              <w:sdtContent>
                <w:r w:rsidR="009D49DB" w:rsidRPr="005F74BC">
                  <w:rPr>
                    <w:rFonts w:asciiTheme="minorHAnsi" w:hAnsiTheme="minorHAnsi"/>
                    <w:sz w:val="22"/>
                    <w:szCs w:val="22"/>
                    <w:lang w:val="fr-FR"/>
                  </w:rPr>
                  <w:t>+33 6 87 77 41 82 – nathalie.roussel@stellantis.com</w:t>
                </w:r>
              </w:sdtContent>
            </w:sdt>
          </w:p>
          <w:p w14:paraId="5CB3E6FA" w14:textId="77777777" w:rsidR="009D49DB" w:rsidRDefault="009D49DB" w:rsidP="00C51269">
            <w:pPr>
              <w:pStyle w:val="SFooter-Emailwebsite"/>
              <w:spacing w:before="0" w:after="0" w:line="240" w:lineRule="auto"/>
              <w:rPr>
                <w:lang w:val="fr-FR"/>
              </w:rPr>
            </w:pPr>
          </w:p>
          <w:p w14:paraId="7CB0FBA7" w14:textId="77777777" w:rsidR="009D49DB" w:rsidRPr="000C77DB" w:rsidRDefault="009D49DB" w:rsidP="00C51269">
            <w:pPr>
              <w:pStyle w:val="SFooter-Emailwebsite"/>
              <w:spacing w:before="0" w:after="0" w:line="240" w:lineRule="auto"/>
              <w:rPr>
                <w:sz w:val="22"/>
                <w:szCs w:val="22"/>
                <w:lang w:val="fr-FR"/>
              </w:rPr>
            </w:pPr>
            <w:r w:rsidRPr="00287868">
              <w:rPr>
                <w:lang w:val="fr-FR"/>
              </w:rPr>
              <w:t>communications@stellantis.com</w:t>
            </w:r>
            <w:r w:rsidRPr="00287868">
              <w:rPr>
                <w:lang w:val="fr-FR"/>
              </w:rPr>
              <w:br/>
              <w:t>www.stellantis.com</w:t>
            </w:r>
          </w:p>
        </w:tc>
      </w:tr>
    </w:tbl>
    <w:p w14:paraId="08F23092" w14:textId="349D29CC" w:rsidR="009D49DB" w:rsidRPr="009D49DB" w:rsidRDefault="00830EC0" w:rsidP="009D49DB">
      <w:pPr>
        <w:spacing w:after="0"/>
        <w:jc w:val="left"/>
        <w:rPr>
          <w:lang w:val="fr-FR"/>
        </w:rPr>
      </w:pPr>
      <w:r w:rsidRPr="009D49DB">
        <w:rPr>
          <w:lang w:val="fr-FR"/>
        </w:rPr>
        <w:br w:type="page"/>
      </w:r>
      <w:r w:rsidR="009D49DB" w:rsidRPr="009D49DB">
        <w:rPr>
          <w:caps/>
          <w:color w:val="243782" w:themeColor="text2"/>
          <w:szCs w:val="18"/>
          <w:lang w:val="fr-FR"/>
        </w:rPr>
        <w:lastRenderedPageBreak/>
        <w:t xml:space="preserve">DÉCLARATIONS PROSPECTIVES </w:t>
      </w:r>
    </w:p>
    <w:p w14:paraId="3BB613D5" w14:textId="5AA287B3" w:rsidR="009D49DB" w:rsidRPr="009D49DB" w:rsidRDefault="009D49DB" w:rsidP="009D49DB">
      <w:pPr>
        <w:spacing w:before="240"/>
        <w:rPr>
          <w:rFonts w:eastAsia="Encode Sans"/>
          <w:i/>
          <w:sz w:val="18"/>
          <w:szCs w:val="18"/>
          <w:lang w:val="fr-FR"/>
        </w:rPr>
      </w:pPr>
      <w:r w:rsidRPr="009D49DB">
        <w:rPr>
          <w:rFonts w:eastAsia="Encode Sans"/>
          <w:i/>
          <w:sz w:val="18"/>
          <w:szCs w:val="18"/>
          <w:lang w:val="fr-FR"/>
        </w:rPr>
        <w:t xml:space="preserve">Cette communication contient des déclarations prospectives. En particulier, les déclarations concernant les événements futurs et les résultats opérationnels anticipés, les stratégies commerciales, les bénéfices escomptés </w:t>
      </w:r>
      <w:proofErr w:type="gramStart"/>
      <w:r w:rsidRPr="009D49DB">
        <w:rPr>
          <w:rFonts w:eastAsia="Encode Sans"/>
          <w:i/>
          <w:sz w:val="18"/>
          <w:szCs w:val="18"/>
          <w:lang w:val="fr-FR"/>
        </w:rPr>
        <w:t>suite à</w:t>
      </w:r>
      <w:proofErr w:type="gramEnd"/>
      <w:r w:rsidRPr="009D49DB">
        <w:rPr>
          <w:rFonts w:eastAsia="Encode Sans"/>
          <w:i/>
          <w:sz w:val="18"/>
          <w:szCs w:val="18"/>
          <w:lang w:val="fr-FR"/>
        </w:rPr>
        <w:t xml:space="preserve"> la transaction proposée, les futurs résultats opérationnels et financiers, la date de clôture prévue pour la transaction proposée et d’autres aspects attendus de nos opérations ou de nos résultats opérationnels sont des déclarations prospectives. Ces déclarations prospectives peuvent souvent être identifiées par les mots « peut », « pourra », « s’attendre à », « pourrait », « devrait », « prévoir », « estimer », « anticiper », « croire », « rester », « en mesure de », « concevoir », « cibler », « objectif », « prévisions », « projections », « perspectives », « prospects », « planifier », ainsi que par d’autres termes similaires. Les déclarations prospectives ne constituent pas des garanties de performance future. Elles reposent au contraire sur l’état actuel des connaissances de </w:t>
      </w:r>
      <w:proofErr w:type="spellStart"/>
      <w:r w:rsidRPr="009D49DB">
        <w:rPr>
          <w:rFonts w:eastAsia="Encode Sans"/>
          <w:i/>
          <w:sz w:val="18"/>
          <w:szCs w:val="18"/>
          <w:lang w:val="fr-FR"/>
        </w:rPr>
        <w:t>Stellantis</w:t>
      </w:r>
      <w:proofErr w:type="spellEnd"/>
      <w:r w:rsidRPr="009D49DB">
        <w:rPr>
          <w:rFonts w:eastAsia="Encode Sans"/>
          <w:i/>
          <w:sz w:val="18"/>
          <w:szCs w:val="18"/>
          <w:lang w:val="fr-FR"/>
        </w:rPr>
        <w:t xml:space="preserve"> ainsi que sur ses projections et attentes </w:t>
      </w:r>
      <w:proofErr w:type="gramStart"/>
      <w:r w:rsidRPr="009D49DB">
        <w:rPr>
          <w:rFonts w:eastAsia="Encode Sans"/>
          <w:i/>
          <w:sz w:val="18"/>
          <w:szCs w:val="18"/>
          <w:lang w:val="fr-FR"/>
        </w:rPr>
        <w:t>futures vis-à-vis</w:t>
      </w:r>
      <w:proofErr w:type="gramEnd"/>
      <w:r w:rsidRPr="009D49DB">
        <w:rPr>
          <w:rFonts w:eastAsia="Encode Sans"/>
          <w:i/>
          <w:sz w:val="18"/>
          <w:szCs w:val="18"/>
          <w:lang w:val="fr-FR"/>
        </w:rPr>
        <w:t xml:space="preserve"> d’événements à venir, et de par leur nature sont soumises à des incertitudes et risques inhérents. Elles concernent des événements et dépendent de circonstances susceptibles ou non de survenir ou d’exister à l’avenir, et en tant que telles, il est recommandé de ne pas leur accorder de confiance excessive.</w:t>
      </w:r>
    </w:p>
    <w:p w14:paraId="5323B1C3" w14:textId="77777777" w:rsidR="009D49DB" w:rsidRPr="009D49DB" w:rsidRDefault="009D49DB" w:rsidP="009D49DB">
      <w:pPr>
        <w:spacing w:before="240"/>
        <w:rPr>
          <w:rFonts w:eastAsia="Encode Sans"/>
          <w:i/>
          <w:sz w:val="18"/>
          <w:szCs w:val="18"/>
          <w:lang w:val="fr-FR"/>
        </w:rPr>
      </w:pPr>
      <w:r w:rsidRPr="009D49DB">
        <w:rPr>
          <w:rFonts w:eastAsia="Encode Sans"/>
          <w:i/>
          <w:sz w:val="18"/>
          <w:szCs w:val="18"/>
          <w:lang w:val="fr-FR"/>
        </w:rPr>
        <w:t xml:space="preserve">Les résultats réels peuvent différer sensiblement de ceux exprimés dans les déclarations prospectives en raison de divers facteurs, notamment : l’impact de la pandémie de COVID-19, la capacité de </w:t>
      </w:r>
      <w:proofErr w:type="spellStart"/>
      <w:r w:rsidRPr="009D49DB">
        <w:rPr>
          <w:rFonts w:eastAsia="Encode Sans"/>
          <w:i/>
          <w:sz w:val="18"/>
          <w:szCs w:val="18"/>
          <w:lang w:val="fr-FR"/>
        </w:rPr>
        <w:t>Stellantis</w:t>
      </w:r>
      <w:proofErr w:type="spellEnd"/>
      <w:r w:rsidRPr="009D49DB">
        <w:rPr>
          <w:rFonts w:eastAsia="Encode Sans"/>
          <w:i/>
          <w:sz w:val="18"/>
          <w:szCs w:val="18"/>
          <w:lang w:val="fr-FR"/>
        </w:rPr>
        <w:t xml:space="preserve"> à lancer avec succès de nouveaux produits et à maintenir les volumes de livraison de véhicules ; les changements sur les marchés financiers mondiaux, l’environnement économique général et les changements dans la demande de produits automobiles, qui est soumise à des cycles ; les changements dans les conditions économiques et politiques locales, les changements dans la politique commerciale et l’imposition de tarifs mondiaux et régionaux ou de tarifs ciblant l’industrie automobile, la promulgation de réformes fiscales ou d’autres changements dans les lois et réglementations fiscales ; la capacité de </w:t>
      </w:r>
      <w:proofErr w:type="spellStart"/>
      <w:r w:rsidRPr="009D49DB">
        <w:rPr>
          <w:rFonts w:eastAsia="Encode Sans"/>
          <w:i/>
          <w:sz w:val="18"/>
          <w:szCs w:val="18"/>
          <w:lang w:val="fr-FR"/>
        </w:rPr>
        <w:t>Stellantis</w:t>
      </w:r>
      <w:proofErr w:type="spellEnd"/>
      <w:r w:rsidRPr="009D49DB">
        <w:rPr>
          <w:rFonts w:eastAsia="Encode Sans"/>
          <w:i/>
          <w:sz w:val="18"/>
          <w:szCs w:val="18"/>
          <w:lang w:val="fr-FR"/>
        </w:rPr>
        <w:t xml:space="preserve"> à développer certaines de ses marques à l’échelle mondiale ; sa capacité à offrir des produits innovants et attrayants ; sa capacité à développer, fabriquer et vendre des véhicules dotés de caractéristiques avancées, notamment une électrification, une connectivité et des caractéristiques de conduite autonome accrues ; divers types de réclamations, de poursuites, d’enquêtes gouvernementales et d’autres éventualités, y compris la responsabilité du fait des produits et les réclamations au titre de la garantie, ainsi que les réclamations, enquêtes et poursuites en matière d’environnement ; les dépenses d’exploitation importantes liées à la conformité aux réglementations en matière d’environnement, de santé et de sécurité ; le niveau de concurrence intense dans l’industrie automobile, qui peut augmenter en raison de la consolidation, l’exposition aux déficits de financement des régimes de retraite à prestations définies de </w:t>
      </w:r>
      <w:proofErr w:type="spellStart"/>
      <w:r w:rsidRPr="009D49DB">
        <w:rPr>
          <w:rFonts w:eastAsia="Encode Sans"/>
          <w:i/>
          <w:sz w:val="18"/>
          <w:szCs w:val="18"/>
          <w:lang w:val="fr-FR"/>
        </w:rPr>
        <w:t>Stellantis</w:t>
      </w:r>
      <w:proofErr w:type="spellEnd"/>
      <w:r w:rsidRPr="009D49DB">
        <w:rPr>
          <w:rFonts w:eastAsia="Encode Sans"/>
          <w:i/>
          <w:sz w:val="18"/>
          <w:szCs w:val="18"/>
          <w:lang w:val="fr-FR"/>
        </w:rPr>
        <w:t xml:space="preserve"> ; la capacité à fournir ou à organiser l’accès à un financement adéquat pour les concessionnaires et les clients au détail et les risques associés à la création et aux opérations des sociétés de services financiers ; la capacité à accéder à des fonds pour exécuter les plans d’affaires de </w:t>
      </w:r>
      <w:proofErr w:type="spellStart"/>
      <w:r w:rsidRPr="009D49DB">
        <w:rPr>
          <w:rFonts w:eastAsia="Encode Sans"/>
          <w:i/>
          <w:sz w:val="18"/>
          <w:szCs w:val="18"/>
          <w:lang w:val="fr-FR"/>
        </w:rPr>
        <w:t>Stellantis</w:t>
      </w:r>
      <w:proofErr w:type="spellEnd"/>
      <w:r w:rsidRPr="009D49DB">
        <w:rPr>
          <w:rFonts w:eastAsia="Encode Sans"/>
          <w:i/>
          <w:sz w:val="18"/>
          <w:szCs w:val="18"/>
          <w:lang w:val="fr-FR"/>
        </w:rPr>
        <w:t xml:space="preserve"> et améliorer ses activités, sa situation financière et ses résultats d’exploitation ; un dysfonctionnement, une perturbation ou une violation de sécurité importants compromettant les systèmes de technologie de l’information ou les systèmes de contrôle électronique contenus dans les véhicules de </w:t>
      </w:r>
      <w:proofErr w:type="spellStart"/>
      <w:r w:rsidRPr="009D49DB">
        <w:rPr>
          <w:rFonts w:eastAsia="Encode Sans"/>
          <w:i/>
          <w:sz w:val="18"/>
          <w:szCs w:val="18"/>
          <w:lang w:val="fr-FR"/>
        </w:rPr>
        <w:t>Stellantis</w:t>
      </w:r>
      <w:proofErr w:type="spellEnd"/>
      <w:r w:rsidRPr="009D49DB">
        <w:rPr>
          <w:rFonts w:eastAsia="Encode Sans"/>
          <w:i/>
          <w:sz w:val="18"/>
          <w:szCs w:val="18"/>
          <w:lang w:val="fr-FR"/>
        </w:rPr>
        <w:t xml:space="preserve"> ; la capacité de </w:t>
      </w:r>
      <w:proofErr w:type="spellStart"/>
      <w:r w:rsidRPr="009D49DB">
        <w:rPr>
          <w:rFonts w:eastAsia="Encode Sans"/>
          <w:i/>
          <w:sz w:val="18"/>
          <w:szCs w:val="18"/>
          <w:lang w:val="fr-FR"/>
        </w:rPr>
        <w:t>Stellantis</w:t>
      </w:r>
      <w:proofErr w:type="spellEnd"/>
      <w:r w:rsidRPr="009D49DB">
        <w:rPr>
          <w:rFonts w:eastAsia="Encode Sans"/>
          <w:i/>
          <w:sz w:val="18"/>
          <w:szCs w:val="18"/>
          <w:lang w:val="fr-FR"/>
        </w:rPr>
        <w:t xml:space="preserve"> à réaliser les bénéfices anticipés des accords de coentreprise ; les perturbations résultant de l’instabilité politique, sociale et économique ; les risques associés à nos relations avec les employés, les concessionnaires et les fournisseurs ; les augmentations de coûts, les perturbations de l’approvisionnement ou les pénuries de matières premières, de pièces, de composants et de systèmes utilisés dans les véhicules de </w:t>
      </w:r>
      <w:proofErr w:type="spellStart"/>
      <w:r w:rsidRPr="009D49DB">
        <w:rPr>
          <w:rFonts w:eastAsia="Encode Sans"/>
          <w:i/>
          <w:sz w:val="18"/>
          <w:szCs w:val="18"/>
          <w:lang w:val="fr-FR"/>
        </w:rPr>
        <w:t>Stellantis</w:t>
      </w:r>
      <w:proofErr w:type="spellEnd"/>
      <w:r w:rsidRPr="009D49DB">
        <w:rPr>
          <w:rFonts w:eastAsia="Encode Sans"/>
          <w:i/>
          <w:sz w:val="18"/>
          <w:szCs w:val="18"/>
          <w:lang w:val="fr-FR"/>
        </w:rPr>
        <w:t xml:space="preserve"> ; le développement dans les relations de travail et industrielles et les évolutions dans les lois du travail applicables ; les fluctuations des taux de change, les changements de taux d’intérêt, le risque de crédit et les autres risques du marché ; les troubles politiques et civils ; les tremblements de terre ou autres catastrophes ; les risques et autres éléments décrits dans le rapport annuel de l’entreprise sur le formulaire 20-F pour l’année clôturée le 31 décembre 2022 et sur le formulaire 6-K pour nos rapports actuels, ainsi que les amendements s’y rapportant déposés auprès de la SEC ; et d’autres risques et incertitudes.</w:t>
      </w:r>
    </w:p>
    <w:p w14:paraId="1B676873" w14:textId="77777777" w:rsidR="009D49DB" w:rsidRPr="009D49DB" w:rsidRDefault="009D49DB" w:rsidP="009D49DB">
      <w:pPr>
        <w:spacing w:before="240"/>
        <w:rPr>
          <w:rFonts w:eastAsia="Encode Sans"/>
          <w:i/>
          <w:sz w:val="18"/>
          <w:szCs w:val="18"/>
          <w:lang w:val="fr-FR"/>
        </w:rPr>
      </w:pPr>
    </w:p>
    <w:p w14:paraId="77A2A770" w14:textId="691EB8C0" w:rsidR="006D00F8" w:rsidRPr="009D49DB" w:rsidRDefault="009D49DB" w:rsidP="009D49DB">
      <w:pPr>
        <w:spacing w:before="240"/>
        <w:rPr>
          <w:rFonts w:eastAsia="Encode Sans"/>
          <w:i/>
          <w:sz w:val="18"/>
          <w:lang w:val="fr-FR"/>
        </w:rPr>
      </w:pPr>
      <w:r w:rsidRPr="009D49DB">
        <w:rPr>
          <w:rFonts w:eastAsia="Encode Sans"/>
          <w:i/>
          <w:sz w:val="18"/>
          <w:szCs w:val="18"/>
          <w:lang w:val="fr-FR"/>
        </w:rPr>
        <w:lastRenderedPageBreak/>
        <w:t xml:space="preserve">Toutes les déclarations prospectives contenues dans cette communication sont valables à la date des présentes, et </w:t>
      </w:r>
      <w:proofErr w:type="spellStart"/>
      <w:r w:rsidRPr="009D49DB">
        <w:rPr>
          <w:rFonts w:eastAsia="Encode Sans"/>
          <w:i/>
          <w:sz w:val="18"/>
          <w:szCs w:val="18"/>
          <w:lang w:val="fr-FR"/>
        </w:rPr>
        <w:t>Stellantis</w:t>
      </w:r>
      <w:proofErr w:type="spellEnd"/>
      <w:r w:rsidRPr="009D49DB">
        <w:rPr>
          <w:rFonts w:eastAsia="Encode Sans"/>
          <w:i/>
          <w:sz w:val="18"/>
          <w:szCs w:val="18"/>
          <w:lang w:val="fr-FR"/>
        </w:rPr>
        <w:t xml:space="preserve"> ne prend aucun engagement de mettre à jour ou de réviser publiquement lesdites déclarations prospectives. De plus amples informations concernant </w:t>
      </w:r>
      <w:proofErr w:type="spellStart"/>
      <w:r w:rsidRPr="009D49DB">
        <w:rPr>
          <w:rFonts w:eastAsia="Encode Sans"/>
          <w:i/>
          <w:sz w:val="18"/>
          <w:szCs w:val="18"/>
          <w:lang w:val="fr-FR"/>
        </w:rPr>
        <w:t>Stellantis</w:t>
      </w:r>
      <w:proofErr w:type="spellEnd"/>
      <w:r w:rsidRPr="009D49DB">
        <w:rPr>
          <w:rFonts w:eastAsia="Encode Sans"/>
          <w:i/>
          <w:sz w:val="18"/>
          <w:szCs w:val="18"/>
          <w:lang w:val="fr-FR"/>
        </w:rPr>
        <w:t xml:space="preserve"> et ses activités, y compris les facteurs susceptibles d’impacter de manière significative les résultats financiers de </w:t>
      </w:r>
      <w:proofErr w:type="spellStart"/>
      <w:r w:rsidRPr="009D49DB">
        <w:rPr>
          <w:rFonts w:eastAsia="Encode Sans"/>
          <w:i/>
          <w:sz w:val="18"/>
          <w:szCs w:val="18"/>
          <w:lang w:val="fr-FR"/>
        </w:rPr>
        <w:t>Stellantis</w:t>
      </w:r>
      <w:proofErr w:type="spellEnd"/>
      <w:r w:rsidRPr="009D49DB">
        <w:rPr>
          <w:rFonts w:eastAsia="Encode Sans"/>
          <w:i/>
          <w:sz w:val="18"/>
          <w:szCs w:val="18"/>
          <w:lang w:val="fr-FR"/>
        </w:rPr>
        <w:t xml:space="preserve">, sont incluses dans les rapports et dossiers de </w:t>
      </w:r>
      <w:proofErr w:type="spellStart"/>
      <w:r w:rsidRPr="009D49DB">
        <w:rPr>
          <w:rFonts w:eastAsia="Encode Sans"/>
          <w:i/>
          <w:sz w:val="18"/>
          <w:szCs w:val="18"/>
          <w:lang w:val="fr-FR"/>
        </w:rPr>
        <w:t>Stellantis</w:t>
      </w:r>
      <w:proofErr w:type="spellEnd"/>
      <w:r w:rsidRPr="009D49DB">
        <w:rPr>
          <w:rFonts w:eastAsia="Encode Sans"/>
          <w:i/>
          <w:sz w:val="18"/>
          <w:szCs w:val="18"/>
          <w:lang w:val="fr-FR"/>
        </w:rPr>
        <w:t xml:space="preserve"> déposés auprès de l’U.S. Securities and Exchange Commission et de l’AFM.</w:t>
      </w:r>
    </w:p>
    <w:sectPr w:rsidR="006D00F8" w:rsidRPr="009D49DB" w:rsidSect="0026471E">
      <w:headerReference w:type="first" r:id="rId16"/>
      <w:pgSz w:w="12242" w:h="15842" w:code="134"/>
      <w:pgMar w:top="1134" w:right="1928" w:bottom="1134" w:left="1928" w:header="1021" w:footer="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313D3" w14:textId="77777777" w:rsidR="00AE62F4" w:rsidRDefault="00AE62F4" w:rsidP="008D3E4C">
      <w:r>
        <w:separator/>
      </w:r>
    </w:p>
  </w:endnote>
  <w:endnote w:type="continuationSeparator" w:id="0">
    <w:p w14:paraId="593AB4E4" w14:textId="77777777" w:rsidR="00AE62F4" w:rsidRDefault="00AE62F4" w:rsidP="008D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mbria"/>
    <w:charset w:val="00"/>
    <w:family w:val="swiss"/>
    <w:pitch w:val="variable"/>
    <w:sig w:usb0="E00002FF" w:usb1="4000001F" w:usb2="08000029"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C7EC4CC0-DD31-48FE-B61F-9F11805BC044}"/>
    <w:embedBold r:id="rId2" w:fontKey="{92872547-3647-4154-9CE3-61EE646BE870}"/>
    <w:embedItalic r:id="rId3" w:fontKey="{642BE395-CDFC-4B67-B2D4-916377196033}"/>
  </w:font>
  <w:font w:name="Encode Sans ExpandedSemiBold">
    <w:panose1 w:val="00000000000000000000"/>
    <w:charset w:val="00"/>
    <w:family w:val="auto"/>
    <w:pitch w:val="variable"/>
    <w:sig w:usb0="A00000FF" w:usb1="4000207B" w:usb2="00000000" w:usb3="00000000" w:csb0="00000193" w:csb1="00000000"/>
    <w:embedRegular r:id="rId4" w:fontKey="{F4404B7F-248D-49DB-9291-00ADFA64B189}"/>
    <w:embedItalic r:id="rId5" w:fontKey="{08FE0DCF-02D4-4381-92F2-A88766C517CC}"/>
  </w:font>
  <w:font w:name="Encode Sans">
    <w:panose1 w:val="00000000000000000000"/>
    <w:charset w:val="00"/>
    <w:family w:val="auto"/>
    <w:pitch w:val="variable"/>
    <w:sig w:usb0="A00000FF" w:usb1="4000207B"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92377" w14:textId="77777777" w:rsidR="00AE62F4" w:rsidRDefault="00AE62F4" w:rsidP="008D3E4C">
      <w:r>
        <w:separator/>
      </w:r>
    </w:p>
  </w:footnote>
  <w:footnote w:type="continuationSeparator" w:id="0">
    <w:p w14:paraId="529514FC" w14:textId="77777777" w:rsidR="00AE62F4" w:rsidRDefault="00AE62F4" w:rsidP="008D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7CFF8" w14:textId="77777777" w:rsidR="005F2120" w:rsidRDefault="00A33E8D" w:rsidP="008D3E4C">
    <w:pPr>
      <w:pStyle w:val="Header"/>
    </w:pPr>
    <w:r w:rsidRPr="00A33E8D">
      <w:rPr>
        <w:noProof/>
      </w:rPr>
      <mc:AlternateContent>
        <mc:Choice Requires="wpg">
          <w:drawing>
            <wp:anchor distT="0" distB="0" distL="114300" distR="114300" simplePos="0" relativeHeight="251660288" behindDoc="1" locked="1" layoutInCell="1" allowOverlap="1" wp14:anchorId="76B7CFDE" wp14:editId="5C2AECD2">
              <wp:simplePos x="0" y="0"/>
              <wp:positionH relativeFrom="page">
                <wp:posOffset>448945</wp:posOffset>
              </wp:positionH>
              <wp:positionV relativeFrom="page">
                <wp:posOffset>-20955</wp:posOffset>
              </wp:positionV>
              <wp:extent cx="269875" cy="2827655"/>
              <wp:effectExtent l="0" t="0" r="0" b="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827655"/>
                        <a:chOff x="0" y="-89386"/>
                        <a:chExt cx="315912" cy="2835761"/>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89386"/>
                          <a:ext cx="315912" cy="2729399"/>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533C88" w14:textId="0FC39156" w:rsidR="00A33E8D" w:rsidRPr="00A830F7" w:rsidRDefault="00095260" w:rsidP="008D3E4C">
                            <w:pPr>
                              <w:pStyle w:val="SPRESSRELEASESTRIP"/>
                              <w:rPr>
                                <w:sz w:val="24"/>
                                <w:szCs w:val="24"/>
                              </w:rPr>
                            </w:pPr>
                            <w:r w:rsidRPr="00A830F7">
                              <w:rPr>
                                <w:rFonts w:ascii="Encode Sans ExpandedLight" w:hAnsi="Encode Sans ExpandedLight"/>
                                <w:color w:val="FFFFFF" w:themeColor="background1"/>
                                <w:sz w:val="24"/>
                                <w:szCs w:val="24"/>
                              </w:rPr>
                              <w:t>COMMUNIQUÉ</w:t>
                            </w:r>
                            <w:r w:rsidRPr="00A830F7" w:rsidDel="00095260">
                              <w:rPr>
                                <w:sz w:val="24"/>
                                <w:szCs w:val="24"/>
                              </w:rPr>
                              <w:t xml:space="preserve"> </w:t>
                            </w:r>
                            <w:r w:rsidRPr="00A830F7">
                              <w:rPr>
                                <w:sz w:val="24"/>
                                <w:szCs w:val="24"/>
                              </w:rPr>
                              <w:t>DE PRESSE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6B7CFDE" id="Groupe 29" o:spid="_x0000_s1026" style="position:absolute;margin-left:35.35pt;margin-top:-1.65pt;width:21.25pt;height:222.65pt;z-index:-251656192;mso-position-horizontal-relative:page;mso-position-vertical-relative:page;mso-width-relative:margin;mso-height-relative:margin" coordorigin=",-893" coordsize="3159,28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893;width:3159;height:27293;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705971;0,2705971;0,2705971;23401,2729399;46802,2705971;46802,2705971;50702,2705971;70203,2686447;89703,2705971;89703,2705971;89703,2705971;113104,2729399;136505,2705971;136505,2705971;136505,2705971;159906,2686447;179407,2705971;179407,2705971;179407,2705971;179407,2705971;179407,2705971;202808,2729399;226209,2705971;226209,2705971;226209,2705971;245709,2686447;269110,2705971;269110,2705971;269110,2705971;292511,2729399;315912,2705971;315912,2705971;315912,2705971;315912,0" o:connectangles="0,0,0,0,0,0,0,0,0,0,0,0,0,0,0,0,0,0,0,0,0,0,0,0,0,0,0,0,0,0,0,0,0,0,0,0" textboxrect="0,0,81,699"/>
                <v:textbox style="layout-flow:vertical;mso-layout-flow-alt:bottom-to-top" inset=".7mm,0,1mm,5mm">
                  <w:txbxContent>
                    <w:p w14:paraId="22533C88" w14:textId="0FC39156" w:rsidR="00A33E8D" w:rsidRPr="00A830F7" w:rsidRDefault="00095260" w:rsidP="008D3E4C">
                      <w:pPr>
                        <w:pStyle w:val="SPRESSRELEASESTRIP"/>
                        <w:rPr>
                          <w:sz w:val="24"/>
                          <w:szCs w:val="24"/>
                        </w:rPr>
                      </w:pPr>
                      <w:r w:rsidRPr="00A830F7">
                        <w:rPr>
                          <w:rFonts w:ascii="Encode Sans ExpandedLight" w:hAnsi="Encode Sans ExpandedLight"/>
                          <w:color w:val="FFFFFF" w:themeColor="background1"/>
                          <w:sz w:val="24"/>
                          <w:szCs w:val="24"/>
                        </w:rPr>
                        <w:t>COMMUNIQUÉ</w:t>
                      </w:r>
                      <w:r w:rsidRPr="00A830F7" w:rsidDel="00095260">
                        <w:rPr>
                          <w:sz w:val="24"/>
                          <w:szCs w:val="24"/>
                        </w:rPr>
                        <w:t xml:space="preserve"> </w:t>
                      </w:r>
                      <w:r w:rsidRPr="00A830F7">
                        <w:rPr>
                          <w:sz w:val="24"/>
                          <w:szCs w:val="24"/>
                        </w:rPr>
                        <w:t>DE PRESSE</w:t>
                      </w:r>
                    </w:p>
                  </w:txbxContent>
                </v:textbox>
              </v:shape>
              <w10:wrap anchorx="page" anchory="page"/>
              <w10:anchorlock/>
            </v:group>
          </w:pict>
        </mc:Fallback>
      </mc:AlternateContent>
    </w:r>
    <w:r w:rsidR="005F2120">
      <w:rPr>
        <w:noProof/>
      </w:rPr>
      <w:drawing>
        <wp:inline distT="0" distB="0" distL="0" distR="0" wp14:anchorId="3352C24A" wp14:editId="08F461A9">
          <wp:extent cx="2317210" cy="718820"/>
          <wp:effectExtent l="0" t="0" r="6985" b="5080"/>
          <wp:docPr id="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1E19D1"/>
    <w:multiLevelType w:val="multilevel"/>
    <w:tmpl w:val="54F6B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960835"/>
    <w:multiLevelType w:val="multilevel"/>
    <w:tmpl w:val="193A4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0227882"/>
    <w:multiLevelType w:val="hybridMultilevel"/>
    <w:tmpl w:val="BB90FC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1954CF1"/>
    <w:multiLevelType w:val="hybridMultilevel"/>
    <w:tmpl w:val="23804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3532916"/>
    <w:multiLevelType w:val="multilevel"/>
    <w:tmpl w:val="C8BC7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97893183">
    <w:abstractNumId w:val="8"/>
  </w:num>
  <w:num w:numId="2" w16cid:durableId="195196806">
    <w:abstractNumId w:val="3"/>
  </w:num>
  <w:num w:numId="3" w16cid:durableId="1786652114">
    <w:abstractNumId w:val="2"/>
  </w:num>
  <w:num w:numId="4" w16cid:durableId="2044398347">
    <w:abstractNumId w:val="1"/>
  </w:num>
  <w:num w:numId="5" w16cid:durableId="206534323">
    <w:abstractNumId w:val="0"/>
  </w:num>
  <w:num w:numId="6" w16cid:durableId="1918860896">
    <w:abstractNumId w:val="9"/>
  </w:num>
  <w:num w:numId="7" w16cid:durableId="702053456">
    <w:abstractNumId w:val="7"/>
  </w:num>
  <w:num w:numId="8" w16cid:durableId="739714645">
    <w:abstractNumId w:val="6"/>
  </w:num>
  <w:num w:numId="9" w16cid:durableId="731923469">
    <w:abstractNumId w:val="5"/>
  </w:num>
  <w:num w:numId="10" w16cid:durableId="675114311">
    <w:abstractNumId w:val="4"/>
  </w:num>
  <w:num w:numId="11" w16cid:durableId="2081292961">
    <w:abstractNumId w:val="14"/>
  </w:num>
  <w:num w:numId="12" w16cid:durableId="1492678256">
    <w:abstractNumId w:val="15"/>
  </w:num>
  <w:num w:numId="13" w16cid:durableId="1181239633">
    <w:abstractNumId w:val="10"/>
  </w:num>
  <w:num w:numId="14" w16cid:durableId="1703942040">
    <w:abstractNumId w:val="11"/>
  </w:num>
  <w:num w:numId="15" w16cid:durableId="572131909">
    <w:abstractNumId w:val="13"/>
  </w:num>
  <w:num w:numId="16" w16cid:durableId="15129126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9E7"/>
    <w:rsid w:val="000039AF"/>
    <w:rsid w:val="00015D93"/>
    <w:rsid w:val="00021C51"/>
    <w:rsid w:val="00023056"/>
    <w:rsid w:val="00032509"/>
    <w:rsid w:val="00034E71"/>
    <w:rsid w:val="00055F10"/>
    <w:rsid w:val="0006020F"/>
    <w:rsid w:val="00074112"/>
    <w:rsid w:val="00087566"/>
    <w:rsid w:val="00095260"/>
    <w:rsid w:val="000B55A2"/>
    <w:rsid w:val="000B6E83"/>
    <w:rsid w:val="000C24E1"/>
    <w:rsid w:val="000F2FE8"/>
    <w:rsid w:val="00103DF5"/>
    <w:rsid w:val="0010465E"/>
    <w:rsid w:val="00126E5A"/>
    <w:rsid w:val="00140A24"/>
    <w:rsid w:val="00140D0E"/>
    <w:rsid w:val="001507D9"/>
    <w:rsid w:val="00150AD4"/>
    <w:rsid w:val="00154A25"/>
    <w:rsid w:val="0015732F"/>
    <w:rsid w:val="00195CBD"/>
    <w:rsid w:val="001B0085"/>
    <w:rsid w:val="001B591C"/>
    <w:rsid w:val="001C0FF2"/>
    <w:rsid w:val="001D168B"/>
    <w:rsid w:val="001D6022"/>
    <w:rsid w:val="001E07C8"/>
    <w:rsid w:val="001E0AC3"/>
    <w:rsid w:val="001E5F48"/>
    <w:rsid w:val="001E6C1E"/>
    <w:rsid w:val="001F4703"/>
    <w:rsid w:val="001F6B51"/>
    <w:rsid w:val="00201B8F"/>
    <w:rsid w:val="00214443"/>
    <w:rsid w:val="0022588D"/>
    <w:rsid w:val="0023542B"/>
    <w:rsid w:val="00237EBF"/>
    <w:rsid w:val="00240E84"/>
    <w:rsid w:val="00242220"/>
    <w:rsid w:val="00251BEE"/>
    <w:rsid w:val="00253AD7"/>
    <w:rsid w:val="00257500"/>
    <w:rsid w:val="00257AAC"/>
    <w:rsid w:val="0026471E"/>
    <w:rsid w:val="00271869"/>
    <w:rsid w:val="00282E05"/>
    <w:rsid w:val="002836DD"/>
    <w:rsid w:val="002936D1"/>
    <w:rsid w:val="00293E0C"/>
    <w:rsid w:val="002A73B3"/>
    <w:rsid w:val="002C508D"/>
    <w:rsid w:val="002D4778"/>
    <w:rsid w:val="002D7AF0"/>
    <w:rsid w:val="002F705B"/>
    <w:rsid w:val="00306422"/>
    <w:rsid w:val="00322BCE"/>
    <w:rsid w:val="00351378"/>
    <w:rsid w:val="00352C28"/>
    <w:rsid w:val="0036683D"/>
    <w:rsid w:val="00380020"/>
    <w:rsid w:val="00385D53"/>
    <w:rsid w:val="003864AD"/>
    <w:rsid w:val="003B2005"/>
    <w:rsid w:val="003D0000"/>
    <w:rsid w:val="003E68CC"/>
    <w:rsid w:val="003E727D"/>
    <w:rsid w:val="003F3F37"/>
    <w:rsid w:val="003F6AD7"/>
    <w:rsid w:val="004022B4"/>
    <w:rsid w:val="00425677"/>
    <w:rsid w:val="00427ABE"/>
    <w:rsid w:val="00433EDD"/>
    <w:rsid w:val="00435A04"/>
    <w:rsid w:val="0044219E"/>
    <w:rsid w:val="004502CD"/>
    <w:rsid w:val="0045216F"/>
    <w:rsid w:val="004532D9"/>
    <w:rsid w:val="00464B4C"/>
    <w:rsid w:val="00482BBB"/>
    <w:rsid w:val="004830B1"/>
    <w:rsid w:val="00484232"/>
    <w:rsid w:val="004D61EA"/>
    <w:rsid w:val="004F7D4E"/>
    <w:rsid w:val="00501A19"/>
    <w:rsid w:val="0051589C"/>
    <w:rsid w:val="00521D0C"/>
    <w:rsid w:val="00521EAA"/>
    <w:rsid w:val="00544345"/>
    <w:rsid w:val="00546209"/>
    <w:rsid w:val="00546DF7"/>
    <w:rsid w:val="0055479C"/>
    <w:rsid w:val="00562D3D"/>
    <w:rsid w:val="00581D2D"/>
    <w:rsid w:val="00590D1A"/>
    <w:rsid w:val="0059213B"/>
    <w:rsid w:val="005974E5"/>
    <w:rsid w:val="005B024F"/>
    <w:rsid w:val="005B3444"/>
    <w:rsid w:val="005C775F"/>
    <w:rsid w:val="005D1D6D"/>
    <w:rsid w:val="005D2EA9"/>
    <w:rsid w:val="005E7E50"/>
    <w:rsid w:val="005F2120"/>
    <w:rsid w:val="0061682B"/>
    <w:rsid w:val="00622F76"/>
    <w:rsid w:val="0063678A"/>
    <w:rsid w:val="006444A1"/>
    <w:rsid w:val="00646166"/>
    <w:rsid w:val="00655A10"/>
    <w:rsid w:val="00666A99"/>
    <w:rsid w:val="0068065A"/>
    <w:rsid w:val="00682310"/>
    <w:rsid w:val="006A08BF"/>
    <w:rsid w:val="006B5C7E"/>
    <w:rsid w:val="006D00F8"/>
    <w:rsid w:val="006E27BF"/>
    <w:rsid w:val="006F2BCB"/>
    <w:rsid w:val="00700983"/>
    <w:rsid w:val="00725131"/>
    <w:rsid w:val="00753A05"/>
    <w:rsid w:val="00770627"/>
    <w:rsid w:val="007819D6"/>
    <w:rsid w:val="00792556"/>
    <w:rsid w:val="0079440C"/>
    <w:rsid w:val="007A46E2"/>
    <w:rsid w:val="007B6150"/>
    <w:rsid w:val="007D520B"/>
    <w:rsid w:val="007E317D"/>
    <w:rsid w:val="007E72E8"/>
    <w:rsid w:val="007F4C9B"/>
    <w:rsid w:val="007F75D4"/>
    <w:rsid w:val="0080313B"/>
    <w:rsid w:val="00805FAA"/>
    <w:rsid w:val="008124BD"/>
    <w:rsid w:val="00813079"/>
    <w:rsid w:val="00815B14"/>
    <w:rsid w:val="00830EC0"/>
    <w:rsid w:val="00833D94"/>
    <w:rsid w:val="00844956"/>
    <w:rsid w:val="008522CB"/>
    <w:rsid w:val="00857FC3"/>
    <w:rsid w:val="0086416D"/>
    <w:rsid w:val="00877117"/>
    <w:rsid w:val="00896F71"/>
    <w:rsid w:val="008974FB"/>
    <w:rsid w:val="008A0D73"/>
    <w:rsid w:val="008B18D5"/>
    <w:rsid w:val="008B4CD5"/>
    <w:rsid w:val="008B718E"/>
    <w:rsid w:val="008C6A96"/>
    <w:rsid w:val="008D3E4C"/>
    <w:rsid w:val="008E56C7"/>
    <w:rsid w:val="008E757E"/>
    <w:rsid w:val="008F0F07"/>
    <w:rsid w:val="008F2A13"/>
    <w:rsid w:val="008F4DE8"/>
    <w:rsid w:val="00902878"/>
    <w:rsid w:val="00925069"/>
    <w:rsid w:val="00925C7D"/>
    <w:rsid w:val="00937AAD"/>
    <w:rsid w:val="00967AD8"/>
    <w:rsid w:val="00975543"/>
    <w:rsid w:val="00977537"/>
    <w:rsid w:val="00977905"/>
    <w:rsid w:val="009803AD"/>
    <w:rsid w:val="00992BE1"/>
    <w:rsid w:val="00994391"/>
    <w:rsid w:val="009968C5"/>
    <w:rsid w:val="009A12F3"/>
    <w:rsid w:val="009A23AB"/>
    <w:rsid w:val="009C33F1"/>
    <w:rsid w:val="009D180E"/>
    <w:rsid w:val="009D49DB"/>
    <w:rsid w:val="009D5F52"/>
    <w:rsid w:val="009D79F4"/>
    <w:rsid w:val="00A00B9C"/>
    <w:rsid w:val="00A0245A"/>
    <w:rsid w:val="00A2101C"/>
    <w:rsid w:val="00A33E8D"/>
    <w:rsid w:val="00A42BA7"/>
    <w:rsid w:val="00A748DE"/>
    <w:rsid w:val="00A82C90"/>
    <w:rsid w:val="00A830F7"/>
    <w:rsid w:val="00A87390"/>
    <w:rsid w:val="00AB7CB4"/>
    <w:rsid w:val="00AE62F4"/>
    <w:rsid w:val="00AF79B8"/>
    <w:rsid w:val="00B13E00"/>
    <w:rsid w:val="00B177DF"/>
    <w:rsid w:val="00B208D6"/>
    <w:rsid w:val="00B27AFB"/>
    <w:rsid w:val="00B32F4C"/>
    <w:rsid w:val="00B63033"/>
    <w:rsid w:val="00B64F18"/>
    <w:rsid w:val="00B705E2"/>
    <w:rsid w:val="00B84E52"/>
    <w:rsid w:val="00B862DF"/>
    <w:rsid w:val="00B92FB1"/>
    <w:rsid w:val="00B96799"/>
    <w:rsid w:val="00BA3E3E"/>
    <w:rsid w:val="00BA5133"/>
    <w:rsid w:val="00BA527D"/>
    <w:rsid w:val="00BA6F64"/>
    <w:rsid w:val="00BC24AF"/>
    <w:rsid w:val="00BF5165"/>
    <w:rsid w:val="00C0321D"/>
    <w:rsid w:val="00C079E1"/>
    <w:rsid w:val="00C10E75"/>
    <w:rsid w:val="00C144D6"/>
    <w:rsid w:val="00C21B90"/>
    <w:rsid w:val="00C31F14"/>
    <w:rsid w:val="00C363C0"/>
    <w:rsid w:val="00C60A64"/>
    <w:rsid w:val="00C814CD"/>
    <w:rsid w:val="00C97693"/>
    <w:rsid w:val="00CC22A9"/>
    <w:rsid w:val="00CC6BBE"/>
    <w:rsid w:val="00CC6EFD"/>
    <w:rsid w:val="00CF3870"/>
    <w:rsid w:val="00CF4B75"/>
    <w:rsid w:val="00D00F9C"/>
    <w:rsid w:val="00D0485C"/>
    <w:rsid w:val="00D1177D"/>
    <w:rsid w:val="00D136C8"/>
    <w:rsid w:val="00D239E7"/>
    <w:rsid w:val="00D265D9"/>
    <w:rsid w:val="00D43A60"/>
    <w:rsid w:val="00D5035F"/>
    <w:rsid w:val="00D5456A"/>
    <w:rsid w:val="00D54C2A"/>
    <w:rsid w:val="00D76779"/>
    <w:rsid w:val="00D81238"/>
    <w:rsid w:val="00D814DF"/>
    <w:rsid w:val="00D82E59"/>
    <w:rsid w:val="00D83C3F"/>
    <w:rsid w:val="00DA27E1"/>
    <w:rsid w:val="00DA2CDE"/>
    <w:rsid w:val="00DC18C2"/>
    <w:rsid w:val="00DE72B9"/>
    <w:rsid w:val="00DF3332"/>
    <w:rsid w:val="00DF5711"/>
    <w:rsid w:val="00E014CA"/>
    <w:rsid w:val="00E1100E"/>
    <w:rsid w:val="00E33B4A"/>
    <w:rsid w:val="00E35DF9"/>
    <w:rsid w:val="00E45FDD"/>
    <w:rsid w:val="00E53F39"/>
    <w:rsid w:val="00E6144F"/>
    <w:rsid w:val="00E636E5"/>
    <w:rsid w:val="00E73507"/>
    <w:rsid w:val="00E8163B"/>
    <w:rsid w:val="00E82EAD"/>
    <w:rsid w:val="00E90B5F"/>
    <w:rsid w:val="00E93724"/>
    <w:rsid w:val="00E953BE"/>
    <w:rsid w:val="00EB1B20"/>
    <w:rsid w:val="00EB6453"/>
    <w:rsid w:val="00EF0F21"/>
    <w:rsid w:val="00EF16D8"/>
    <w:rsid w:val="00F04E9F"/>
    <w:rsid w:val="00F40E56"/>
    <w:rsid w:val="00F5284E"/>
    <w:rsid w:val="00F5685A"/>
    <w:rsid w:val="00F628D9"/>
    <w:rsid w:val="00F663F7"/>
    <w:rsid w:val="00F66CF5"/>
    <w:rsid w:val="00F7137E"/>
    <w:rsid w:val="00F72D4C"/>
    <w:rsid w:val="00F74D4F"/>
    <w:rsid w:val="00F7559B"/>
    <w:rsid w:val="00F90273"/>
    <w:rsid w:val="00F90CCA"/>
    <w:rsid w:val="00F92EBF"/>
    <w:rsid w:val="00FB502F"/>
    <w:rsid w:val="00FD1F15"/>
    <w:rsid w:val="00FD6CFC"/>
    <w:rsid w:val="00FD7FB6"/>
    <w:rsid w:val="00FE52CB"/>
    <w:rsid w:val="00FE7FA9"/>
    <w:rsid w:val="00FF53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6DDE76"/>
  <w15:chartTrackingRefBased/>
  <w15:docId w15:val="{181F9891-6985-4C3B-A954-F0EF1A5E5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paragraph" w:styleId="Revision">
    <w:name w:val="Revision"/>
    <w:hidden/>
    <w:uiPriority w:val="99"/>
    <w:semiHidden/>
    <w:rsid w:val="00E6144F"/>
    <w:rPr>
      <w:sz w:val="24"/>
      <w:lang w:val="en-US"/>
    </w:rPr>
  </w:style>
  <w:style w:type="character" w:styleId="CommentReference">
    <w:name w:val="annotation reference"/>
    <w:basedOn w:val="DefaultParagraphFont"/>
    <w:uiPriority w:val="99"/>
    <w:semiHidden/>
    <w:rsid w:val="002A73B3"/>
    <w:rPr>
      <w:sz w:val="16"/>
      <w:szCs w:val="16"/>
    </w:rPr>
  </w:style>
  <w:style w:type="paragraph" w:styleId="CommentText">
    <w:name w:val="annotation text"/>
    <w:basedOn w:val="Normal"/>
    <w:link w:val="CommentTextChar"/>
    <w:uiPriority w:val="99"/>
    <w:semiHidden/>
    <w:rsid w:val="002A73B3"/>
    <w:rPr>
      <w:sz w:val="20"/>
      <w:szCs w:val="20"/>
    </w:rPr>
  </w:style>
  <w:style w:type="character" w:customStyle="1" w:styleId="CommentTextChar">
    <w:name w:val="Comment Text Char"/>
    <w:basedOn w:val="DefaultParagraphFont"/>
    <w:link w:val="CommentText"/>
    <w:uiPriority w:val="99"/>
    <w:semiHidden/>
    <w:rsid w:val="002A73B3"/>
    <w:rPr>
      <w:sz w:val="20"/>
      <w:szCs w:val="20"/>
      <w:lang w:val="en-US"/>
    </w:rPr>
  </w:style>
  <w:style w:type="paragraph" w:styleId="CommentSubject">
    <w:name w:val="annotation subject"/>
    <w:basedOn w:val="CommentText"/>
    <w:next w:val="CommentText"/>
    <w:link w:val="CommentSubjectChar"/>
    <w:uiPriority w:val="99"/>
    <w:semiHidden/>
    <w:unhideWhenUsed/>
    <w:rsid w:val="002A73B3"/>
    <w:rPr>
      <w:b/>
      <w:bCs/>
    </w:rPr>
  </w:style>
  <w:style w:type="character" w:customStyle="1" w:styleId="CommentSubjectChar">
    <w:name w:val="Comment Subject Char"/>
    <w:basedOn w:val="CommentTextChar"/>
    <w:link w:val="CommentSubject"/>
    <w:uiPriority w:val="99"/>
    <w:semiHidden/>
    <w:rsid w:val="002A73B3"/>
    <w:rPr>
      <w:b/>
      <w:bCs/>
      <w:sz w:val="20"/>
      <w:szCs w:val="20"/>
      <w:lang w:val="en-US"/>
    </w:rPr>
  </w:style>
  <w:style w:type="character" w:styleId="UnresolvedMention">
    <w:name w:val="Unresolved Mention"/>
    <w:basedOn w:val="DefaultParagraphFont"/>
    <w:uiPriority w:val="99"/>
    <w:semiHidden/>
    <w:unhideWhenUsed/>
    <w:rsid w:val="00FB502F"/>
    <w:rPr>
      <w:color w:val="605E5C"/>
      <w:shd w:val="clear" w:color="auto" w:fill="E1DFDD"/>
    </w:rPr>
  </w:style>
  <w:style w:type="character" w:styleId="FollowedHyperlink">
    <w:name w:val="FollowedHyperlink"/>
    <w:basedOn w:val="DefaultParagraphFont"/>
    <w:uiPriority w:val="99"/>
    <w:semiHidden/>
    <w:rsid w:val="0026471E"/>
    <w:rPr>
      <w:color w:val="272B3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92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linkedin.com/showcase/stellantis-france/?viewAsMember=true" TargetMode="External"/><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https://www.stellantis.com/fr" TargetMode="Externa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Stellantis" TargetMode="External"/><Relationship Id="rId5" Type="http://schemas.openxmlformats.org/officeDocument/2006/relationships/footnotes" Target="footnotes.xml"/><Relationship Id="rId15" Type="http://schemas.openxmlformats.org/officeDocument/2006/relationships/hyperlink" Target="https://www.youtube.com/c/Stellantis_official" TargetMode="Externa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witter.com/StellantisFR" TargetMode="External"/><Relationship Id="rId14" Type="http://schemas.openxmlformats.org/officeDocument/2006/relationships/image" Target="media/image4.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0900KC\Desktop\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9BCFC6F746A442F9133C3378984071D"/>
        <w:category>
          <w:name w:val="General"/>
          <w:gallery w:val="placeholder"/>
        </w:category>
        <w:types>
          <w:type w:val="bbPlcHdr"/>
        </w:types>
        <w:behaviors>
          <w:behavior w:val="content"/>
        </w:behaviors>
        <w:guid w:val="{82F000C2-856F-4AAF-A33E-D55E3D65A38B}"/>
      </w:docPartPr>
      <w:docPartBody>
        <w:p w:rsidR="006B4248" w:rsidRDefault="00D4690F" w:rsidP="00D4690F">
          <w:pPr>
            <w:pStyle w:val="09BCFC6F746A442F9133C3378984071D"/>
          </w:pPr>
          <w:r>
            <w:rPr>
              <w:rStyle w:val="PlaceholderText"/>
              <w:b/>
              <w:color w:val="44546A" w:themeColor="text2"/>
            </w:rPr>
            <w:t>First name LAST NAME</w:t>
          </w:r>
        </w:p>
      </w:docPartBody>
    </w:docPart>
    <w:docPart>
      <w:docPartPr>
        <w:name w:val="F0D889D3F2D441E080ED23DBEED70ABD"/>
        <w:category>
          <w:name w:val="General"/>
          <w:gallery w:val="placeholder"/>
        </w:category>
        <w:types>
          <w:type w:val="bbPlcHdr"/>
        </w:types>
        <w:behaviors>
          <w:behavior w:val="content"/>
        </w:behaviors>
        <w:guid w:val="{81E0B803-7F3B-4532-8A6D-79DB45EA98D6}"/>
      </w:docPartPr>
      <w:docPartBody>
        <w:p w:rsidR="006B4248" w:rsidRDefault="00D4690F" w:rsidP="00D4690F">
          <w:pPr>
            <w:pStyle w:val="F0D889D3F2D441E080ED23DBEED70ABD"/>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DDDAF2765242473087631C3F5DDC3C87"/>
        <w:category>
          <w:name w:val="General"/>
          <w:gallery w:val="placeholder"/>
        </w:category>
        <w:types>
          <w:type w:val="bbPlcHdr"/>
        </w:types>
        <w:behaviors>
          <w:behavior w:val="content"/>
        </w:behaviors>
        <w:guid w:val="{8301A542-6DEE-412F-A5F2-072DA29B9F59}"/>
      </w:docPartPr>
      <w:docPartBody>
        <w:p w:rsidR="006B4248" w:rsidRDefault="00D4690F" w:rsidP="00D4690F">
          <w:pPr>
            <w:pStyle w:val="DDDAF2765242473087631C3F5DDC3C87"/>
          </w:pPr>
          <w:r>
            <w:rPr>
              <w:rStyle w:val="PlaceholderText"/>
              <w:b/>
              <w:color w:val="44546A" w:themeColor="text2"/>
            </w:rPr>
            <w:t>First name LAST NAME</w:t>
          </w:r>
        </w:p>
      </w:docPartBody>
    </w:docPart>
    <w:docPart>
      <w:docPartPr>
        <w:name w:val="FB3C40B5509E440BAD52D40E44C44358"/>
        <w:category>
          <w:name w:val="General"/>
          <w:gallery w:val="placeholder"/>
        </w:category>
        <w:types>
          <w:type w:val="bbPlcHdr"/>
        </w:types>
        <w:behaviors>
          <w:behavior w:val="content"/>
        </w:behaviors>
        <w:guid w:val="{4103A880-578E-4FD7-BB15-10C18F729032}"/>
      </w:docPartPr>
      <w:docPartBody>
        <w:p w:rsidR="006B4248" w:rsidRDefault="00D4690F" w:rsidP="00D4690F">
          <w:pPr>
            <w:pStyle w:val="FB3C40B5509E440BAD52D40E44C44358"/>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mbria"/>
    <w:charset w:val="00"/>
    <w:family w:val="swiss"/>
    <w:pitch w:val="variable"/>
    <w:sig w:usb0="E00002FF" w:usb1="4000001F" w:usb2="08000029"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Encode Sans">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646"/>
    <w:rsid w:val="00040794"/>
    <w:rsid w:val="0007584E"/>
    <w:rsid w:val="00080CF9"/>
    <w:rsid w:val="00092A29"/>
    <w:rsid w:val="000E72C3"/>
    <w:rsid w:val="00140488"/>
    <w:rsid w:val="0017027B"/>
    <w:rsid w:val="001759D4"/>
    <w:rsid w:val="00286664"/>
    <w:rsid w:val="002C0D46"/>
    <w:rsid w:val="002E5869"/>
    <w:rsid w:val="00303A22"/>
    <w:rsid w:val="00312839"/>
    <w:rsid w:val="00320C69"/>
    <w:rsid w:val="00350F86"/>
    <w:rsid w:val="0035789C"/>
    <w:rsid w:val="003846E1"/>
    <w:rsid w:val="003B479B"/>
    <w:rsid w:val="004117DE"/>
    <w:rsid w:val="004332E9"/>
    <w:rsid w:val="00446CA8"/>
    <w:rsid w:val="00460C52"/>
    <w:rsid w:val="00463C8D"/>
    <w:rsid w:val="004739DE"/>
    <w:rsid w:val="00556BF1"/>
    <w:rsid w:val="0059417C"/>
    <w:rsid w:val="005A0A5D"/>
    <w:rsid w:val="005F2BD3"/>
    <w:rsid w:val="006222F3"/>
    <w:rsid w:val="006B4248"/>
    <w:rsid w:val="007063D6"/>
    <w:rsid w:val="00711DAD"/>
    <w:rsid w:val="00712010"/>
    <w:rsid w:val="00775A60"/>
    <w:rsid w:val="007814A7"/>
    <w:rsid w:val="00787479"/>
    <w:rsid w:val="007E53F2"/>
    <w:rsid w:val="0087101D"/>
    <w:rsid w:val="00871462"/>
    <w:rsid w:val="00896646"/>
    <w:rsid w:val="008B4D03"/>
    <w:rsid w:val="008D14B1"/>
    <w:rsid w:val="00901F4B"/>
    <w:rsid w:val="00904AA3"/>
    <w:rsid w:val="009139EA"/>
    <w:rsid w:val="00957318"/>
    <w:rsid w:val="00966E45"/>
    <w:rsid w:val="009848C7"/>
    <w:rsid w:val="009C4A50"/>
    <w:rsid w:val="00A00D69"/>
    <w:rsid w:val="00A45CBE"/>
    <w:rsid w:val="00A90464"/>
    <w:rsid w:val="00AD6838"/>
    <w:rsid w:val="00AE318E"/>
    <w:rsid w:val="00B328E2"/>
    <w:rsid w:val="00B65E5C"/>
    <w:rsid w:val="00C12EF2"/>
    <w:rsid w:val="00C330AB"/>
    <w:rsid w:val="00C51A91"/>
    <w:rsid w:val="00CE7CAF"/>
    <w:rsid w:val="00CF4DDB"/>
    <w:rsid w:val="00CF7107"/>
    <w:rsid w:val="00D4690F"/>
    <w:rsid w:val="00D77EAF"/>
    <w:rsid w:val="00D84090"/>
    <w:rsid w:val="00E20551"/>
    <w:rsid w:val="00E7553B"/>
    <w:rsid w:val="00E8150E"/>
    <w:rsid w:val="00E83D16"/>
    <w:rsid w:val="00EB4E0A"/>
    <w:rsid w:val="00EC2C2D"/>
    <w:rsid w:val="00ED39D5"/>
    <w:rsid w:val="00F2319B"/>
    <w:rsid w:val="00F46C01"/>
    <w:rsid w:val="00FF0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690F"/>
  </w:style>
  <w:style w:type="paragraph" w:customStyle="1" w:styleId="09BCFC6F746A442F9133C3378984071D">
    <w:name w:val="09BCFC6F746A442F9133C3378984071D"/>
    <w:rsid w:val="00D4690F"/>
  </w:style>
  <w:style w:type="paragraph" w:customStyle="1" w:styleId="F0D889D3F2D441E080ED23DBEED70ABD">
    <w:name w:val="F0D889D3F2D441E080ED23DBEED70ABD"/>
    <w:rsid w:val="00D4690F"/>
  </w:style>
  <w:style w:type="paragraph" w:customStyle="1" w:styleId="DDDAF2765242473087631C3F5DDC3C87">
    <w:name w:val="DDDAF2765242473087631C3F5DDC3C87"/>
    <w:rsid w:val="00D4690F"/>
  </w:style>
  <w:style w:type="paragraph" w:customStyle="1" w:styleId="FB3C40B5509E440BAD52D40E44C44358">
    <w:name w:val="FB3C40B5509E440BAD52D40E44C44358"/>
    <w:rsid w:val="00D469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Stellantis Press Release Word US v6.dotx</Template>
  <TotalTime>1</TotalTime>
  <Pages>4</Pages>
  <Words>1415</Words>
  <Characters>8072</Characters>
  <Application>Microsoft Office Word</Application>
  <DocSecurity>0</DocSecurity>
  <Lines>67</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Press Release US</vt:lpstr>
      <vt:lpstr>Press Release US</vt:lpstr>
    </vt:vector>
  </TitlesOfParts>
  <Company>Stellantis</Company>
  <LinksUpToDate>false</LinksUpToDate>
  <CharactersWithSpaces>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Connelly Kaileen (FCA)</dc:creator>
  <cp:keywords/>
  <dc:description/>
  <cp:lastModifiedBy>KAILEEN</cp:lastModifiedBy>
  <cp:revision>2</cp:revision>
  <cp:lastPrinted>2024-02-14T17:08:00Z</cp:lastPrinted>
  <dcterms:created xsi:type="dcterms:W3CDTF">2024-02-14T18:43:00Z</dcterms:created>
  <dcterms:modified xsi:type="dcterms:W3CDTF">2024-02-14T18:43:00Z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2023-02-02T20:29:16Z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b4302e29-4316-4cf6-91d3-5eb35b1ddbbc</vt:lpwstr>
  </property>
  <property fmtid="{D5CDD505-2E9C-101B-9397-08002B2CF9AE}" pid="8" name="MSIP_Label_2fd53d93-3f4c-4b90-b511-bd6bdbb4fba9_ContentBits">
    <vt:lpwstr>0</vt:lpwstr>
  </property>
</Properties>
</file>