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1CEDD" w14:textId="5A11AB95" w:rsidR="00DB731D" w:rsidRDefault="00120654" w:rsidP="00DB731D">
      <w:pPr>
        <w:pStyle w:val="SSubjectBlock"/>
      </w:pPr>
      <w:r>
        <mc:AlternateContent>
          <mc:Choice Requires="wps">
            <w:drawing>
              <wp:anchor distT="0" distB="0" distL="114300" distR="114300" simplePos="0" relativeHeight="251661312" behindDoc="0" locked="1" layoutInCell="1" allowOverlap="0" wp14:anchorId="00193BDD" wp14:editId="1703F97D">
                <wp:simplePos x="0" y="0"/>
                <wp:positionH relativeFrom="column">
                  <wp:posOffset>15240</wp:posOffset>
                </wp:positionH>
                <wp:positionV relativeFrom="page">
                  <wp:posOffset>1707515</wp:posOffset>
                </wp:positionV>
                <wp:extent cx="429895" cy="64135"/>
                <wp:effectExtent l="0" t="0" r="8255" b="0"/>
                <wp:wrapNone/>
                <wp:docPr id="14" name="Freihandform: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64135"/>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lumMod val="50000"/>
                          </a:schemeClr>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761BDA" id="Freihandform: Form 14" o:spid="_x0000_s1026" style="position:absolute;margin-left:1.2pt;margin-top:134.45pt;width:33.85pt;height: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" o:allowoverlap="f" path="m329,39l,39,27,,354,,329,39xe" fillcolor="#1f4d78 [1604]" stroked="f">
                <v:path arrowok="t" o:connecttype="custom" o:connectlocs="399535,64135;0,64135;32789,0;429895,0;399535,64135" o:connectangles="0,0,0,0,0"/>
                <w10:wrap anchory="page"/>
                <w10:anchorlock/>
              </v:shape>
            </w:pict>
          </mc:Fallback>
        </mc:AlternateContent>
      </w:r>
      <w:r w:rsidR="00DB731D">
        <w:t>Le rapport 2023 sur la Responsabilité Sociale de l</w:t>
      </w:r>
      <w:r w:rsidR="00B93AD3">
        <w:t>’</w:t>
      </w:r>
      <w:r w:rsidR="00DB731D">
        <w:t xml:space="preserve">Entreprise présente des résultats </w:t>
      </w:r>
      <w:r w:rsidR="00DB731D" w:rsidRPr="0069297F">
        <w:t>solides,</w:t>
      </w:r>
      <w:r w:rsidR="00902A0E" w:rsidRPr="0069297F">
        <w:t xml:space="preserve"> </w:t>
      </w:r>
      <w:r w:rsidR="00DB731D" w:rsidRPr="0069297F">
        <w:t>en ligne avec</w:t>
      </w:r>
      <w:r w:rsidR="00DB731D">
        <w:t xml:space="preserve"> les objectifs ambitieux du plan Dare Forward 2030 de Stellantis</w:t>
      </w:r>
    </w:p>
    <w:p w14:paraId="62C9B3BF" w14:textId="48BA2890" w:rsidR="00DB731D" w:rsidRDefault="00DB731D" w:rsidP="00DB731D">
      <w:pPr>
        <w:pStyle w:val="SBullet"/>
        <w:ind w:left="720" w:hanging="360"/>
      </w:pPr>
      <w:r>
        <w:t>Empreinte carbone 2023 conforme à l</w:t>
      </w:r>
      <w:r w:rsidR="00B93AD3">
        <w:t>’</w:t>
      </w:r>
      <w:r>
        <w:t>objectif de l</w:t>
      </w:r>
      <w:r w:rsidR="00B93AD3">
        <w:t>’</w:t>
      </w:r>
      <w:r>
        <w:t>entreprise d</w:t>
      </w:r>
      <w:r w:rsidR="00B93AD3">
        <w:t>’</w:t>
      </w:r>
      <w:r>
        <w:t>atteindre la neutralité carbone d</w:t>
      </w:r>
      <w:r w:rsidR="00B93AD3">
        <w:t>’</w:t>
      </w:r>
      <w:r>
        <w:t>ici 2038, avec une réduction de 12,6 % des émissions tous scopes confondus par rapport à l</w:t>
      </w:r>
      <w:r w:rsidR="00B93AD3">
        <w:t>’</w:t>
      </w:r>
      <w:r>
        <w:t>année de référence 2021</w:t>
      </w:r>
    </w:p>
    <w:p w14:paraId="6F01A0D1" w14:textId="77777777" w:rsidR="00DB731D" w:rsidRDefault="00DB731D" w:rsidP="00DB731D">
      <w:pPr>
        <w:pStyle w:val="SBullet"/>
        <w:ind w:left="720" w:hanging="360"/>
      </w:pPr>
      <w:r>
        <w:t>Stellantis utilise une approche à 360 degrés avec toutes les parties prenantes pour mettre en place des pratiques responsables et développer ses activités</w:t>
      </w:r>
    </w:p>
    <w:p w14:paraId="2C836A7D" w14:textId="493C6B0C" w:rsidR="00DB731D" w:rsidRDefault="00DB731D" w:rsidP="00DB731D">
      <w:pPr>
        <w:pStyle w:val="SBullet"/>
        <w:ind w:left="720" w:hanging="360"/>
      </w:pPr>
      <w:r>
        <w:t xml:space="preserve">Stellantis poursuit sa transformation rapide en </w:t>
      </w:r>
      <w:r w:rsidR="00B93AD3">
        <w:t>‘</w:t>
      </w:r>
      <w:r>
        <w:t>tech company</w:t>
      </w:r>
      <w:r w:rsidR="00B93AD3">
        <w:t>’</w:t>
      </w:r>
      <w:r>
        <w:t xml:space="preserve"> de mobilité durable afin de réinventer l</w:t>
      </w:r>
      <w:r w:rsidR="00B93AD3">
        <w:t>’</w:t>
      </w:r>
      <w:r>
        <w:t>avenir du transport pour les générations à venir</w:t>
      </w:r>
    </w:p>
    <w:p w14:paraId="4898FAED" w14:textId="77777777" w:rsidR="00DB731D" w:rsidRPr="007F0ED9" w:rsidRDefault="00DB731D" w:rsidP="00DB731D">
      <w:pPr>
        <w:pStyle w:val="SBullet"/>
        <w:numPr>
          <w:ilvl w:val="0"/>
          <w:numId w:val="0"/>
        </w:numPr>
        <w:ind w:left="720"/>
      </w:pPr>
    </w:p>
    <w:p w14:paraId="2FDF34CF" w14:textId="30068927" w:rsidR="00DB731D" w:rsidRDefault="00DB731D" w:rsidP="00DB731D">
      <w:pPr>
        <w:pStyle w:val="SDatePlace"/>
        <w:jc w:val="both"/>
      </w:pPr>
      <w:r>
        <w:t>AMSTERDAM, le 5 avril 2024 – Stellantis publie aujourd</w:t>
      </w:r>
      <w:r w:rsidR="00B93AD3">
        <w:t>’</w:t>
      </w:r>
      <w:r>
        <w:t xml:space="preserve">hui son troisième </w:t>
      </w:r>
      <w:hyperlink r:id="rId8" w:history="1">
        <w:r w:rsidRPr="00435A0E">
          <w:rPr>
            <w:rStyle w:val="Hyperlink"/>
            <w:u w:val="single"/>
          </w:rPr>
          <w:t>rapport sur la Responsabilité Sociale de l</w:t>
        </w:r>
        <w:r w:rsidR="00B93AD3" w:rsidRPr="00435A0E">
          <w:rPr>
            <w:rStyle w:val="Hyperlink"/>
            <w:u w:val="single"/>
          </w:rPr>
          <w:t>’</w:t>
        </w:r>
        <w:r w:rsidRPr="00435A0E">
          <w:rPr>
            <w:rStyle w:val="Hyperlink"/>
            <w:u w:val="single"/>
          </w:rPr>
          <w:t>Entreprise (RSE)</w:t>
        </w:r>
      </w:hyperlink>
      <w:r>
        <w:t>, qui résume les progrès réalisés par l</w:t>
      </w:r>
      <w:r w:rsidR="00B93AD3">
        <w:t>’</w:t>
      </w:r>
      <w:r>
        <w:t>entreprise pour développer des activités durables et construire une société meilleure pour tous.</w:t>
      </w:r>
    </w:p>
    <w:p w14:paraId="20F9B375" w14:textId="04908410" w:rsidR="00846063" w:rsidRDefault="00DB731D" w:rsidP="00DB731D">
      <w:r>
        <w:t>« Bien que la mobilité représente le premier élément de notre approche en matière de développement durable, nous souhaitons également apporter des changements au sein de nos opérations et de nos communautés, que ce soit via la réduction de notre impact environnemental, la création d</w:t>
      </w:r>
      <w:r w:rsidR="00B93AD3">
        <w:t>’</w:t>
      </w:r>
      <w:r>
        <w:t>espaces de travail plus inclusifs ou le soutien apporté aux communautés qui nous accueillent », a déclaré Carlos Tavares, CEO de Stellantis. « Les progrès réalisés dans ces domaines sont essentiels pour nous permettre d</w:t>
      </w:r>
      <w:r w:rsidR="00B93AD3">
        <w:t>’</w:t>
      </w:r>
      <w:r>
        <w:t>offrir des solutions de mobilité abordables à nos clients, mais également pour nous assurer que nos partenaires continuent à soutenir nos opérations. »</w:t>
      </w:r>
    </w:p>
    <w:p w14:paraId="0436A3C2" w14:textId="77777777" w:rsidR="00846063" w:rsidRDefault="00846063">
      <w:pPr>
        <w:spacing w:after="0"/>
        <w:jc w:val="left"/>
      </w:pPr>
      <w:r>
        <w:br w:type="page"/>
      </w:r>
    </w:p>
    <w:p w14:paraId="26664335" w14:textId="71D30FB6" w:rsidR="00DB731D" w:rsidRDefault="00DB731D" w:rsidP="00DB731D">
      <w:pPr>
        <w:pStyle w:val="SDatePlace"/>
        <w:jc w:val="both"/>
      </w:pPr>
      <w:r>
        <w:lastRenderedPageBreak/>
        <w:t xml:space="preserve">Notre approche RSE est pleinement intégrée dans </w:t>
      </w:r>
      <w:hyperlink r:id="rId9" w:anchor="target" w:history="1">
        <w:r>
          <w:rPr>
            <w:rStyle w:val="Hyperlink"/>
            <w:u w:val="single"/>
          </w:rPr>
          <w:t xml:space="preserve">Dare </w:t>
        </w:r>
        <w:proofErr w:type="spellStart"/>
        <w:r>
          <w:rPr>
            <w:rStyle w:val="Hyperlink"/>
            <w:u w:val="single"/>
          </w:rPr>
          <w:t>Forward</w:t>
        </w:r>
        <w:proofErr w:type="spellEnd"/>
        <w:r>
          <w:rPr>
            <w:rStyle w:val="Hyperlink"/>
            <w:u w:val="single"/>
          </w:rPr>
          <w:t> 2030</w:t>
        </w:r>
      </w:hyperlink>
      <w:r>
        <w:t>, le plan stratégique à long terme de l</w:t>
      </w:r>
      <w:r w:rsidR="00B93AD3">
        <w:t>’</w:t>
      </w:r>
      <w:r>
        <w:t>entreprise. En 2023, nos actions RSE ont notamment concerné les domaines suivants :</w:t>
      </w:r>
    </w:p>
    <w:p w14:paraId="3C2D0878" w14:textId="4F5CF2C0" w:rsidR="00DB731D" w:rsidRDefault="00DB731D" w:rsidP="00DB731D">
      <w:pPr>
        <w:pStyle w:val="SDatePlace"/>
        <w:numPr>
          <w:ilvl w:val="0"/>
          <w:numId w:val="22"/>
        </w:numPr>
        <w:jc w:val="both"/>
      </w:pPr>
      <w:r>
        <w:rPr>
          <w:b/>
        </w:rPr>
        <w:t>La réduction de l</w:t>
      </w:r>
      <w:r w:rsidR="00B93AD3">
        <w:rPr>
          <w:b/>
        </w:rPr>
        <w:t>’</w:t>
      </w:r>
      <w:r>
        <w:rPr>
          <w:b/>
        </w:rPr>
        <w:t>empreinte carbone globale de l</w:t>
      </w:r>
      <w:r w:rsidR="00B93AD3">
        <w:rPr>
          <w:b/>
        </w:rPr>
        <w:t>’</w:t>
      </w:r>
      <w:r>
        <w:rPr>
          <w:b/>
        </w:rPr>
        <w:t>entreprise</w:t>
      </w:r>
      <w:r>
        <w:t xml:space="preserve"> (tous scopes confondus), conformément à </w:t>
      </w:r>
      <w:hyperlink r:id="rId10">
        <w:r>
          <w:rPr>
            <w:rStyle w:val="Hyperlink"/>
            <w:u w:val="single"/>
          </w:rPr>
          <w:t>notre engagement d</w:t>
        </w:r>
        <w:r w:rsidR="00B93AD3">
          <w:rPr>
            <w:rStyle w:val="Hyperlink"/>
            <w:u w:val="single"/>
          </w:rPr>
          <w:t>’</w:t>
        </w:r>
        <w:r>
          <w:rPr>
            <w:rStyle w:val="Hyperlink"/>
            <w:u w:val="single"/>
          </w:rPr>
          <w:t>atteindre la neutralité carbone d</w:t>
        </w:r>
        <w:r w:rsidR="00B93AD3">
          <w:rPr>
            <w:rStyle w:val="Hyperlink"/>
            <w:u w:val="single"/>
          </w:rPr>
          <w:t>’</w:t>
        </w:r>
        <w:r>
          <w:rPr>
            <w:rStyle w:val="Hyperlink"/>
            <w:u w:val="single"/>
          </w:rPr>
          <w:t>ici 2038</w:t>
        </w:r>
      </w:hyperlink>
      <w:r>
        <w:t> : baisse de 12,6 % de notre empreinte carbone globale en valeur absolue (en eqCO</w:t>
      </w:r>
      <w:r>
        <w:rPr>
          <w:vertAlign w:val="subscript"/>
        </w:rPr>
        <w:t>2</w:t>
      </w:r>
      <w:r>
        <w:t xml:space="preserve">) en 2023 par rapport à 2021.  </w:t>
      </w:r>
    </w:p>
    <w:p w14:paraId="26AAB09F" w14:textId="0B574B55" w:rsidR="00DB731D" w:rsidRDefault="00DB731D" w:rsidP="00DB731D">
      <w:pPr>
        <w:pStyle w:val="SDatePlace"/>
        <w:numPr>
          <w:ilvl w:val="0"/>
          <w:numId w:val="22"/>
        </w:numPr>
        <w:jc w:val="both"/>
      </w:pPr>
      <w:r>
        <w:rPr>
          <w:b/>
        </w:rPr>
        <w:t>L</w:t>
      </w:r>
      <w:r w:rsidR="00B93AD3">
        <w:rPr>
          <w:b/>
        </w:rPr>
        <w:t>’</w:t>
      </w:r>
      <w:r>
        <w:rPr>
          <w:b/>
        </w:rPr>
        <w:t>utilisation massive d</w:t>
      </w:r>
      <w:r w:rsidR="00B93AD3">
        <w:rPr>
          <w:b/>
        </w:rPr>
        <w:t>’</w:t>
      </w:r>
      <w:r>
        <w:rPr>
          <w:b/>
        </w:rPr>
        <w:t>électricité décarbonée</w:t>
      </w:r>
      <w:r>
        <w:t xml:space="preserve"> pour alimenter les process de l</w:t>
      </w:r>
      <w:r w:rsidR="00B93AD3">
        <w:t>’</w:t>
      </w:r>
      <w:r>
        <w:t>entreprise, avec un objectif de 100 % d</w:t>
      </w:r>
      <w:r w:rsidR="00B93AD3">
        <w:t>’</w:t>
      </w:r>
      <w:r>
        <w:t>ici 2030. En 2023, la part d</w:t>
      </w:r>
      <w:r w:rsidR="00B93AD3">
        <w:t>’</w:t>
      </w:r>
      <w:r>
        <w:t>électricité décarbonée a atteint 58 %, contribuant ainsi à réduire de 20 % notre empreinte carbone industrielle en valeur absolue tCO</w:t>
      </w:r>
      <w:r w:rsidRPr="0069297F">
        <w:rPr>
          <w:vertAlign w:val="subscript"/>
        </w:rPr>
        <w:t>2</w:t>
      </w:r>
      <w:r>
        <w:t xml:space="preserve"> (scopes 1 et 2) par rapport à 2021.</w:t>
      </w:r>
      <w:r>
        <w:rPr>
          <w:rFonts w:ascii="Times New Roman" w:hAnsi="Times New Roman"/>
        </w:rPr>
        <w:t> </w:t>
      </w:r>
    </w:p>
    <w:p w14:paraId="7D46931B" w14:textId="1E93EB1F" w:rsidR="00DB731D" w:rsidRDefault="00DB731D" w:rsidP="00DB731D">
      <w:pPr>
        <w:pStyle w:val="SDatePlace"/>
        <w:numPr>
          <w:ilvl w:val="0"/>
          <w:numId w:val="22"/>
        </w:numPr>
        <w:jc w:val="both"/>
      </w:pPr>
      <w:r>
        <w:rPr>
          <w:b/>
        </w:rPr>
        <w:t>Le développement d</w:t>
      </w:r>
      <w:r w:rsidR="00B93AD3">
        <w:rPr>
          <w:b/>
        </w:rPr>
        <w:t>’</w:t>
      </w:r>
      <w:r>
        <w:rPr>
          <w:b/>
        </w:rPr>
        <w:t>activités d</w:t>
      </w:r>
      <w:r w:rsidR="00B93AD3">
        <w:rPr>
          <w:b/>
        </w:rPr>
        <w:t>’</w:t>
      </w:r>
      <w:r>
        <w:rPr>
          <w:b/>
        </w:rPr>
        <w:t>économie circulaire </w:t>
      </w:r>
      <w:r>
        <w:t xml:space="preserve">: en 2023, plus de deux millions de pièces automobiles ont été recyclées (pots catalytiques, parties avant/pare-chocs en plastique, jantes en alliage et batteries haute tension) dans quatre régions (Europe élargie, Amérique du Nord, Amérique du Sud, et Moyen-Orient et Afrique). Stellantis a inauguré son </w:t>
      </w:r>
      <w:hyperlink r:id="rId11">
        <w:r>
          <w:rPr>
            <w:rStyle w:val="Hyperlink"/>
            <w:u w:val="single"/>
          </w:rPr>
          <w:t>premier Hub d</w:t>
        </w:r>
        <w:r w:rsidR="00B93AD3">
          <w:rPr>
            <w:rStyle w:val="Hyperlink"/>
            <w:u w:val="single"/>
          </w:rPr>
          <w:t>’</w:t>
        </w:r>
        <w:r>
          <w:rPr>
            <w:rStyle w:val="Hyperlink"/>
            <w:u w:val="single"/>
          </w:rPr>
          <w:t>Économie Circulaire SUSTAINera</w:t>
        </w:r>
      </w:hyperlink>
      <w:r>
        <w:t xml:space="preserve"> à Mirafiori, en Italie, qui a démarré son activité par </w:t>
      </w:r>
      <w:r w:rsidR="008D2A7A">
        <w:t xml:space="preserve">la rénovation </w:t>
      </w:r>
      <w:r>
        <w:t>des moteurs, des boîtes de vitesses et des batteries, ainsi que le reconditionnement et le démantèlement des véhicules.</w:t>
      </w:r>
      <w:r>
        <w:rPr>
          <w:rFonts w:ascii="Times New Roman" w:hAnsi="Times New Roman"/>
        </w:rPr>
        <w:t> </w:t>
      </w:r>
    </w:p>
    <w:p w14:paraId="178680BA" w14:textId="7FBBDA82" w:rsidR="00DB731D" w:rsidRDefault="00DB731D" w:rsidP="00DB731D">
      <w:pPr>
        <w:pStyle w:val="SDatePlace"/>
        <w:numPr>
          <w:ilvl w:val="0"/>
          <w:numId w:val="22"/>
        </w:numPr>
        <w:jc w:val="both"/>
      </w:pPr>
      <w:r>
        <w:rPr>
          <w:b/>
        </w:rPr>
        <w:t>Une stratégie d</w:t>
      </w:r>
      <w:r w:rsidR="00B93AD3">
        <w:rPr>
          <w:b/>
        </w:rPr>
        <w:t>’</w:t>
      </w:r>
      <w:r>
        <w:rPr>
          <w:b/>
        </w:rPr>
        <w:t xml:space="preserve">électrification structurée pour toutes les marques, </w:t>
      </w:r>
      <w:r>
        <w:t>avec 30 modèles électriques (BEV) disponibles fin 2023 et 18 de plus en 2024, pour atteindre un total de 48 BEV. L</w:t>
      </w:r>
      <w:r w:rsidR="00B93AD3">
        <w:t>’</w:t>
      </w:r>
      <w:r>
        <w:t>an passé, les ventes de BEV ont progressé de 21 % à l</w:t>
      </w:r>
      <w:r w:rsidR="00B93AD3">
        <w:t>’</w:t>
      </w:r>
      <w:r>
        <w:t xml:space="preserve">échelle mondiale. 18,5 % des voitures particulières vendues en Europe (EU27, Malte et Norvège exclus, Islande, Royaume-Uni et Suisse inclus) et 11,2 % des voitures particulières et des fourgons vendus aux États-Unis étaient des modèles électriques ou hybrides, et ce grâce au développement de notre portefeuille. </w:t>
      </w:r>
    </w:p>
    <w:p w14:paraId="1F49252F" w14:textId="4D6657E0" w:rsidR="00846063" w:rsidRDefault="00DB731D" w:rsidP="00B93AD3">
      <w:pPr>
        <w:pStyle w:val="ListParagraph"/>
        <w:numPr>
          <w:ilvl w:val="0"/>
          <w:numId w:val="22"/>
        </w:numPr>
        <w:spacing w:after="0"/>
      </w:pPr>
      <w:r w:rsidRPr="00846063">
        <w:rPr>
          <w:b/>
        </w:rPr>
        <w:t>Une stratégie globale de développement du capital humain</w:t>
      </w:r>
      <w:r>
        <w:t xml:space="preserve"> articulée autour de quatre piliers : s</w:t>
      </w:r>
      <w:r w:rsidR="00B93AD3">
        <w:t>’</w:t>
      </w:r>
      <w:r>
        <w:t>engager dans une transformation écoresponsable basée sur un dialogue social commun et constructif ; attirer, développer et retenir les talents, notamment grâce à 2,9 millions d</w:t>
      </w:r>
      <w:r w:rsidR="00B93AD3">
        <w:t>’</w:t>
      </w:r>
      <w:r>
        <w:t>heures de formation ; favoriser la diversité et l</w:t>
      </w:r>
      <w:r w:rsidR="00B93AD3">
        <w:t>’</w:t>
      </w:r>
      <w:r>
        <w:t>inclusion, avec 30 % des postes de direction occupés par des femmes ; et promouvoir la sécurité, la santé et le bien-être sur le lieu de travail.</w:t>
      </w:r>
      <w:r w:rsidR="00846063">
        <w:br w:type="page"/>
      </w:r>
    </w:p>
    <w:p w14:paraId="7D3AFB8B" w14:textId="7582D115" w:rsidR="00DB731D" w:rsidRDefault="00DB731D" w:rsidP="00DB731D">
      <w:pPr>
        <w:pStyle w:val="ListParagraph"/>
        <w:numPr>
          <w:ilvl w:val="0"/>
          <w:numId w:val="22"/>
        </w:numPr>
        <w:rPr>
          <w:szCs w:val="18"/>
        </w:rPr>
      </w:pPr>
      <w:r>
        <w:rPr>
          <w:b/>
        </w:rPr>
        <w:lastRenderedPageBreak/>
        <w:t>Une surveillance et une mise en œuvre rigoureuses des pratiques d</w:t>
      </w:r>
      <w:r w:rsidR="00B93AD3">
        <w:rPr>
          <w:b/>
        </w:rPr>
        <w:t>’</w:t>
      </w:r>
      <w:r>
        <w:rPr>
          <w:b/>
        </w:rPr>
        <w:t>achats responsables de Stellantis :</w:t>
      </w:r>
      <w:r>
        <w:t xml:space="preserve"> 3 461 groupes de fournisseurs évalués par </w:t>
      </w:r>
      <w:proofErr w:type="spellStart"/>
      <w:r>
        <w:t>EcoVadis</w:t>
      </w:r>
      <w:proofErr w:type="spellEnd"/>
      <w:r>
        <w:t>, soit plus de 89 % de la valeur d</w:t>
      </w:r>
      <w:r w:rsidR="00B93AD3">
        <w:t>’</w:t>
      </w:r>
      <w:r>
        <w:t>achat annuelle. Les résultats montrent que les fournisseurs de Stellantis respectent mieux les critères RSE que le seuil de référence d</w:t>
      </w:r>
      <w:r w:rsidR="00B93AD3">
        <w:t>’</w:t>
      </w:r>
      <w:proofErr w:type="spellStart"/>
      <w:r>
        <w:t>EcoVadis</w:t>
      </w:r>
      <w:proofErr w:type="spellEnd"/>
      <w:r>
        <w:t>.</w:t>
      </w:r>
    </w:p>
    <w:p w14:paraId="5AD0FE14" w14:textId="5EB3AB70" w:rsidR="00DB731D" w:rsidRDefault="00DB731D" w:rsidP="00DB731D">
      <w:pPr>
        <w:pStyle w:val="SDatePlace"/>
        <w:numPr>
          <w:ilvl w:val="0"/>
          <w:numId w:val="22"/>
        </w:numPr>
        <w:jc w:val="both"/>
      </w:pPr>
      <w:r>
        <w:rPr>
          <w:b/>
        </w:rPr>
        <w:t xml:space="preserve">Un engagement envers nos communautés : </w:t>
      </w:r>
      <w:r>
        <w:t>plus de 18,5 millions d</w:t>
      </w:r>
      <w:r w:rsidR="00B93AD3">
        <w:t>’</w:t>
      </w:r>
      <w:r>
        <w:t>euros versés en soutien à 366 projets philanthropiques axés sur l</w:t>
      </w:r>
      <w:r w:rsidR="00B93AD3">
        <w:t>’</w:t>
      </w:r>
      <w:r>
        <w:t xml:space="preserve">éducation, et 5 174 collaborateurs Stellantis engagés dans des programmes de bénévolat. Les </w:t>
      </w:r>
      <w:proofErr w:type="spellStart"/>
      <w:r>
        <w:t>Stellantis</w:t>
      </w:r>
      <w:proofErr w:type="spellEnd"/>
      <w:r>
        <w:t xml:space="preserve"> </w:t>
      </w:r>
      <w:proofErr w:type="spellStart"/>
      <w:r>
        <w:t>Student</w:t>
      </w:r>
      <w:proofErr w:type="spellEnd"/>
      <w:r>
        <w:t xml:space="preserve"> Awards ont récompensé plus de 600 membres de familles de collaborateurs pour leur engagement en faveur de l</w:t>
      </w:r>
      <w:r w:rsidR="00B93AD3">
        <w:t>’</w:t>
      </w:r>
      <w:r>
        <w:t>éducation et de la formation continue, et la Fondation Stellantis s</w:t>
      </w:r>
      <w:r w:rsidR="00B93AD3">
        <w:t>’</w:t>
      </w:r>
      <w:r>
        <w:t>est associée au CERN pour inaugurer le Science Gateway à Genève, un nouveau centre dédié à l</w:t>
      </w:r>
      <w:r w:rsidR="00B93AD3">
        <w:t>’</w:t>
      </w:r>
      <w:r>
        <w:t>éducation scientifique.</w:t>
      </w:r>
    </w:p>
    <w:p w14:paraId="1EB02567" w14:textId="3240CE39" w:rsidR="00DB731D" w:rsidRDefault="00DB731D" w:rsidP="00DB731D">
      <w:pPr>
        <w:pStyle w:val="SDatePlace"/>
        <w:jc w:val="both"/>
      </w:pPr>
      <w:r>
        <w:t xml:space="preserve">En 2023, Stellantis a également organisé la première édition du </w:t>
      </w:r>
      <w:hyperlink r:id="rId12" w:history="1">
        <w:r>
          <w:rPr>
            <w:rStyle w:val="Hyperlink"/>
            <w:u w:val="single"/>
          </w:rPr>
          <w:t xml:space="preserve">« Freedom of </w:t>
        </w:r>
        <w:proofErr w:type="spellStart"/>
        <w:r>
          <w:rPr>
            <w:rStyle w:val="Hyperlink"/>
            <w:u w:val="single"/>
          </w:rPr>
          <w:t>Mobility</w:t>
        </w:r>
        <w:proofErr w:type="spellEnd"/>
        <w:r>
          <w:rPr>
            <w:rStyle w:val="Hyperlink"/>
            <w:u w:val="single"/>
          </w:rPr>
          <w:t xml:space="preserve"> Forum »</w:t>
        </w:r>
      </w:hyperlink>
      <w:r>
        <w:t>, un dialogue entre différentes parties prenantes conçu pour alimenter le débat public sur la liberté de mobilité dans un monde décarboné. Un groupe d</w:t>
      </w:r>
      <w:r w:rsidR="00B93AD3">
        <w:t>’</w:t>
      </w:r>
      <w:r>
        <w:t>experts divers représentant l</w:t>
      </w:r>
      <w:r w:rsidR="00B93AD3">
        <w:t>’</w:t>
      </w:r>
      <w:r>
        <w:t>industrie, le monde universitaire, le gouvernement et la société civile ont confronté leurs idées au cours d</w:t>
      </w:r>
      <w:r w:rsidR="00B93AD3">
        <w:t>’</w:t>
      </w:r>
      <w:r>
        <w:t>un débat en direct sur le thème : « </w:t>
      </w:r>
      <w:r>
        <w:rPr>
          <w:i/>
          <w:iCs/>
        </w:rPr>
        <w:t>Dans un monde décarboné, la liberté de mobilité ne sera-t-elle accessible qu</w:t>
      </w:r>
      <w:r w:rsidR="00B93AD3">
        <w:rPr>
          <w:i/>
          <w:iCs/>
        </w:rPr>
        <w:t>’</w:t>
      </w:r>
      <w:r>
        <w:rPr>
          <w:i/>
          <w:iCs/>
        </w:rPr>
        <w:t>à quelques privilégiés ? </w:t>
      </w:r>
      <w:r>
        <w:t xml:space="preserve">» </w:t>
      </w:r>
      <w:r>
        <w:rPr>
          <w:rFonts w:ascii="Times New Roman" w:hAnsi="Times New Roman"/>
        </w:rPr>
        <w:t> </w:t>
      </w:r>
      <w:r>
        <w:t xml:space="preserve">Le deuxième débat a eu lieu le 3 avril 2024, avec pour thématique : </w:t>
      </w:r>
      <w:r>
        <w:rPr>
          <w:i/>
        </w:rPr>
        <w:t>« Comment notre planète répondra-t-elle aux besoins de mobilité de 8 milliards de personnes ? »</w:t>
      </w:r>
    </w:p>
    <w:p w14:paraId="6697959D" w14:textId="2396454F" w:rsidR="00DB731D" w:rsidRDefault="00DB731D" w:rsidP="00DB731D">
      <w:pPr>
        <w:pStyle w:val="SDatePlace"/>
        <w:jc w:val="both"/>
      </w:pPr>
      <w:r>
        <w:t>Ce rapport RSE reflète l</w:t>
      </w:r>
      <w:r w:rsidR="00B93AD3">
        <w:t>’</w:t>
      </w:r>
      <w:r>
        <w:t>engagement de Stellantis envers une culture d</w:t>
      </w:r>
      <w:r w:rsidR="00B93AD3">
        <w:t>’</w:t>
      </w:r>
      <w:r>
        <w:t>intégrité, de responsabilité et d</w:t>
      </w:r>
      <w:r w:rsidR="00B93AD3">
        <w:t>’</w:t>
      </w:r>
      <w:r>
        <w:t>éthique dans tous les domaines et sur l</w:t>
      </w:r>
      <w:r w:rsidR="00B93AD3">
        <w:t>’</w:t>
      </w:r>
      <w:r>
        <w:t>ensemble de la chaîne de valeur. Il représente également les efforts consentis par l</w:t>
      </w:r>
      <w:r w:rsidR="00B93AD3">
        <w:t>’</w:t>
      </w:r>
      <w:r>
        <w:t>entreprise pour mener des activités plus respectueuses de l</w:t>
      </w:r>
      <w:r w:rsidR="00B93AD3">
        <w:t>’</w:t>
      </w:r>
      <w:r>
        <w:t>environnement, plus citoyennes et économiquement viables.</w:t>
      </w:r>
    </w:p>
    <w:p w14:paraId="6053A6E3" w14:textId="413546A5" w:rsidR="00846063" w:rsidRDefault="00DB731D" w:rsidP="00DB731D">
      <w:pPr>
        <w:jc w:val="center"/>
      </w:pPr>
      <w:r>
        <w:t># # #</w:t>
      </w:r>
    </w:p>
    <w:p w14:paraId="33E3F498" w14:textId="77777777" w:rsidR="00846063" w:rsidRDefault="00846063">
      <w:pPr>
        <w:spacing w:after="0"/>
        <w:jc w:val="left"/>
      </w:pPr>
      <w:r>
        <w:br w:type="page"/>
      </w:r>
    </w:p>
    <w:p w14:paraId="0436402A" w14:textId="77777777" w:rsidR="005708BD" w:rsidRPr="00AE0E14" w:rsidRDefault="005708BD" w:rsidP="005708BD">
      <w:pPr>
        <w:pStyle w:val="SSubtitle"/>
      </w:pPr>
      <w:r>
        <w:lastRenderedPageBreak/>
        <w:t>À propos de Stellantis</w:t>
      </w:r>
    </w:p>
    <w:p w14:paraId="30483BBD" w14:textId="1F8C226C" w:rsidR="00C53BB5" w:rsidRPr="00A14F62" w:rsidRDefault="00F423D1" w:rsidP="00C53BB5">
      <w:pPr>
        <w:pStyle w:val="STextitalic"/>
      </w:pPr>
      <w:r>
        <w:t>Stellantis N.V. (NYSE : STLA</w:t>
      </w:r>
      <w:r w:rsidR="000D3446">
        <w:t xml:space="preserve"> </w:t>
      </w:r>
      <w:r>
        <w:t>/ Euronext Milan : STLAM</w:t>
      </w:r>
      <w:r w:rsidR="000D3446">
        <w:t xml:space="preserve"> </w:t>
      </w:r>
      <w:r>
        <w:t>/ Euronext Paris : STLAP) est l</w:t>
      </w:r>
      <w:r w:rsidR="00B93AD3">
        <w:t>’</w:t>
      </w:r>
      <w:r>
        <w:t>un des principaux constructeurs automobiles au monde, dont l</w:t>
      </w:r>
      <w:r w:rsidR="00B93AD3">
        <w:t>’</w:t>
      </w:r>
      <w:r>
        <w:t>objectif est d</w:t>
      </w:r>
      <w:r w:rsidR="00B93AD3">
        <w:t>’</w:t>
      </w:r>
      <w:r>
        <w:t xml:space="preserve">offrir à tous une liberté de mobilité propre, sûre et abordable. Connu pour son portefeuille unique de marques emblématiques et innovantes, notamment </w:t>
      </w:r>
      <w:proofErr w:type="spellStart"/>
      <w:r>
        <w:t>Abarth</w:t>
      </w:r>
      <w:proofErr w:type="spellEnd"/>
      <w:r>
        <w:t>, Alfa Romeo, Chrysler, Citroën, Dodge, DS Automobiles, Fiat, Jeep</w:t>
      </w:r>
      <w:r w:rsidRPr="009717C0">
        <w:rPr>
          <w:vertAlign w:val="subscript"/>
        </w:rPr>
        <w:t>®</w:t>
      </w:r>
      <w:r>
        <w:t>, Lancia, Maserati, Opel, Peugeot, Ram, Vauxhall, Free2move et Leasys. Stellantis est aujourd</w:t>
      </w:r>
      <w:r w:rsidR="00B93AD3">
        <w:t>’</w:t>
      </w:r>
      <w:r>
        <w:t xml:space="preserve">hui dans la mise en œuvre </w:t>
      </w:r>
      <w:r w:rsidR="42816EB2" w:rsidRPr="00CD2106">
        <w:t>de</w:t>
      </w:r>
      <w:r w:rsidR="42816EB2">
        <w:t xml:space="preserve"> </w:t>
      </w:r>
      <w:r>
        <w:t xml:space="preserve">son plan stratégique audacieux Dare Forward 2030, afin de devenir une </w:t>
      </w:r>
      <w:r w:rsidR="00B93AD3">
        <w:t>‘</w:t>
      </w:r>
      <w:r>
        <w:t>tech company</w:t>
      </w:r>
      <w:r w:rsidR="00B93AD3">
        <w:t>’</w:t>
      </w:r>
      <w:r>
        <w:t xml:space="preserve"> de mobilité et d</w:t>
      </w:r>
      <w:r w:rsidR="00B93AD3">
        <w:t>’</w:t>
      </w:r>
      <w:r>
        <w:t>atteindre la neutralité carbone d</w:t>
      </w:r>
      <w:r w:rsidR="00B93AD3">
        <w:t>’</w:t>
      </w:r>
      <w:r>
        <w:t>ici à 2038,</w:t>
      </w:r>
      <w:r w:rsidR="007249F6">
        <w:t xml:space="preserve"> </w:t>
      </w:r>
      <w:r w:rsidR="007249F6" w:rsidRPr="007249F6">
        <w:t>avec un pourcentage de compensation des émissions résiduelles à un seul chiffre</w:t>
      </w:r>
      <w:r w:rsidR="007249F6">
        <w:t>,</w:t>
      </w:r>
      <w:r>
        <w:t xml:space="preserve"> tout en créant de la valeur ajoutée pour l</w:t>
      </w:r>
      <w:r w:rsidR="00B93AD3">
        <w:t>’</w:t>
      </w:r>
      <w:r>
        <w:t xml:space="preserve">ensemble des parties prenantes. Pour en savoir plus : </w:t>
      </w:r>
      <w:hyperlink r:id="rId13">
        <w:r w:rsidR="004778F4" w:rsidRPr="05DAEA74">
          <w:rPr>
            <w:rStyle w:val="Hyperlink"/>
            <w:u w:val="single"/>
          </w:rPr>
          <w:t>www.stellantis.com</w:t>
        </w:r>
      </w:hyperlink>
    </w:p>
    <w:tbl>
      <w:tblPr>
        <w:tblW w:w="5284" w:type="pct"/>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53BB5" w:rsidRPr="00F965AC" w14:paraId="2760A375" w14:textId="77777777" w:rsidTr="00F965AC">
        <w:trPr>
          <w:trHeight w:val="729"/>
        </w:trPr>
        <w:tc>
          <w:tcPr>
            <w:tcW w:w="580" w:type="dxa"/>
            <w:shd w:val="clear" w:color="auto" w:fill="auto"/>
            <w:vAlign w:val="center"/>
          </w:tcPr>
          <w:p w14:paraId="5E288924" w14:textId="77777777" w:rsidR="00C53BB5" w:rsidRPr="00F965AC" w:rsidRDefault="00DB731D" w:rsidP="00F965AC">
            <w:pPr>
              <w:spacing w:after="0"/>
              <w:jc w:val="left"/>
              <w:rPr>
                <w:color w:val="243782"/>
                <w:sz w:val="22"/>
                <w:szCs w:val="22"/>
              </w:rPr>
            </w:pPr>
            <w:r>
              <w:rPr>
                <w:noProof/>
                <w:lang w:val="en-US"/>
              </w:rPr>
              <w:drawing>
                <wp:anchor distT="0" distB="0" distL="114300" distR="114300" simplePos="0" relativeHeight="251658240" behindDoc="0" locked="0" layoutInCell="1" allowOverlap="1" wp14:anchorId="7CF2E9A1" wp14:editId="0DF9CA90">
                  <wp:simplePos x="0" y="0"/>
                  <wp:positionH relativeFrom="column">
                    <wp:posOffset>0</wp:posOffset>
                  </wp:positionH>
                  <wp:positionV relativeFrom="paragraph">
                    <wp:posOffset>-178435</wp:posOffset>
                  </wp:positionV>
                  <wp:extent cx="291465" cy="291465"/>
                  <wp:effectExtent l="0" t="0" r="0" b="0"/>
                  <wp:wrapNone/>
                  <wp:docPr id="15"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cercle, symbole, Graphiqu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5" w:type="dxa"/>
            <w:shd w:val="clear" w:color="auto" w:fill="auto"/>
          </w:tcPr>
          <w:p w14:paraId="54220EDB"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70" w:type="dxa"/>
            <w:shd w:val="clear" w:color="auto" w:fill="auto"/>
            <w:vAlign w:val="center"/>
          </w:tcPr>
          <w:p w14:paraId="39A0CD29" w14:textId="77777777" w:rsidR="00C53BB5" w:rsidRPr="00F965AC" w:rsidRDefault="00DB731D" w:rsidP="00F965AC">
            <w:pPr>
              <w:spacing w:after="0"/>
              <w:jc w:val="left"/>
              <w:rPr>
                <w:color w:val="243782"/>
                <w:sz w:val="22"/>
                <w:szCs w:val="22"/>
              </w:rPr>
            </w:pPr>
            <w:r>
              <w:rPr>
                <w:noProof/>
                <w:lang w:val="en-US"/>
              </w:rPr>
              <w:drawing>
                <wp:anchor distT="0" distB="0" distL="114300" distR="114300" simplePos="0" relativeHeight="251659264" behindDoc="0" locked="0" layoutInCell="1" allowOverlap="1" wp14:anchorId="42DCC091" wp14:editId="29D454BE">
                  <wp:simplePos x="0" y="0"/>
                  <wp:positionH relativeFrom="column">
                    <wp:posOffset>17145</wp:posOffset>
                  </wp:positionH>
                  <wp:positionV relativeFrom="paragraph">
                    <wp:posOffset>-172720</wp:posOffset>
                  </wp:positionV>
                  <wp:extent cx="291465" cy="291465"/>
                  <wp:effectExtent l="0" t="0" r="0" b="0"/>
                  <wp:wrapNone/>
                  <wp:docPr id="12"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symbole, logo, Police, cercl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4" w:type="dxa"/>
            <w:shd w:val="clear" w:color="auto" w:fill="auto"/>
          </w:tcPr>
          <w:p w14:paraId="68EB836C"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56" w:type="dxa"/>
            <w:shd w:val="clear" w:color="auto" w:fill="auto"/>
            <w:vAlign w:val="center"/>
          </w:tcPr>
          <w:p w14:paraId="2E1DA4CC" w14:textId="77777777" w:rsidR="00C53BB5" w:rsidRPr="00F965AC" w:rsidRDefault="00DB731D" w:rsidP="00F965AC">
            <w:pPr>
              <w:spacing w:after="0"/>
              <w:jc w:val="left"/>
              <w:rPr>
                <w:color w:val="243782"/>
                <w:sz w:val="22"/>
                <w:szCs w:val="22"/>
              </w:rPr>
            </w:pPr>
            <w:r>
              <w:rPr>
                <w:noProof/>
                <w:lang w:val="en-US"/>
              </w:rPr>
              <w:drawing>
                <wp:anchor distT="0" distB="0" distL="114300" distR="114300" simplePos="0" relativeHeight="251656192" behindDoc="1" locked="0" layoutInCell="1" allowOverlap="1" wp14:anchorId="51C3BD3C" wp14:editId="5D3F9A2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2678" y="19679"/>
                      <wp:lineTo x="19722" y="16868"/>
                      <wp:lineTo x="19722" y="4217"/>
                      <wp:lineTo x="16904" y="0"/>
                      <wp:lineTo x="2817" y="0"/>
                    </wp:wrapPolygon>
                  </wp:wrapTight>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shd w:val="clear" w:color="auto" w:fill="auto"/>
          </w:tcPr>
          <w:p w14:paraId="4247E26D"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c>
          <w:tcPr>
            <w:tcW w:w="568" w:type="dxa"/>
            <w:shd w:val="clear" w:color="auto" w:fill="auto"/>
            <w:vAlign w:val="center"/>
          </w:tcPr>
          <w:p w14:paraId="5AC651E7" w14:textId="77777777" w:rsidR="00C53BB5" w:rsidRPr="00F965AC" w:rsidRDefault="00DB731D" w:rsidP="00F965AC">
            <w:pPr>
              <w:spacing w:after="0"/>
              <w:jc w:val="left"/>
              <w:rPr>
                <w:color w:val="243782"/>
                <w:sz w:val="22"/>
                <w:szCs w:val="22"/>
              </w:rPr>
            </w:pPr>
            <w:r>
              <w:rPr>
                <w:noProof/>
                <w:lang w:val="en-US"/>
              </w:rPr>
              <w:drawing>
                <wp:anchor distT="0" distB="0" distL="114300" distR="114300" simplePos="0" relativeHeight="251657216" behindDoc="1" locked="0" layoutInCell="1" allowOverlap="1" wp14:anchorId="6C0AF2C9" wp14:editId="7B10F091">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shd w:val="clear" w:color="auto" w:fill="auto"/>
          </w:tcPr>
          <w:p w14:paraId="0540F0C0" w14:textId="77777777" w:rsidR="00C53BB5" w:rsidRPr="00F965AC" w:rsidRDefault="00C53BB5" w:rsidP="00F965AC">
            <w:pPr>
              <w:spacing w:before="120" w:after="0"/>
              <w:jc w:val="left"/>
              <w:rPr>
                <w:color w:val="243782"/>
                <w:sz w:val="22"/>
                <w:szCs w:val="22"/>
              </w:rPr>
            </w:pPr>
            <w:r w:rsidRPr="00F965AC">
              <w:rPr>
                <w:color w:val="243782"/>
                <w:sz w:val="22"/>
                <w:szCs w:val="22"/>
              </w:rPr>
              <w:t>Stellantis</w:t>
            </w:r>
          </w:p>
        </w:tc>
      </w:tr>
      <w:tr w:rsidR="00C53BB5" w:rsidRPr="00F965AC" w14:paraId="1EACE564" w14:textId="77777777" w:rsidTr="00F965AC">
        <w:tblPrEx>
          <w:tblCellMar>
            <w:right w:w="57" w:type="dxa"/>
          </w:tblCellMar>
        </w:tblPrEx>
        <w:trPr>
          <w:gridAfter w:val="1"/>
          <w:wAfter w:w="22" w:type="dxa"/>
          <w:trHeight w:val="2043"/>
        </w:trPr>
        <w:tc>
          <w:tcPr>
            <w:tcW w:w="8365" w:type="dxa"/>
            <w:gridSpan w:val="8"/>
            <w:shd w:val="clear" w:color="auto" w:fill="auto"/>
          </w:tcPr>
          <w:p w14:paraId="416B91B3" w14:textId="77777777" w:rsidR="00C53BB5" w:rsidRPr="00F965AC" w:rsidRDefault="00DB731D" w:rsidP="0012579B">
            <w:r>
              <w:rPr>
                <w:noProof/>
                <w:lang w:val="en-US"/>
              </w:rPr>
              <mc:AlternateContent>
                <mc:Choice Requires="wps">
                  <w:drawing>
                    <wp:inline distT="0" distB="0" distL="0" distR="0" wp14:anchorId="53E9EC13" wp14:editId="5012896A">
                      <wp:extent cx="431800" cy="62230"/>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rgbClr val="243782"/>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4BE8DC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" path="m329,39l,39,27,,354,,329,39xe" fillcolor="#243782" stroked="f">
                      <v:path arrowok="t" o:connecttype="custom" o:connectlocs="401306,62230;0,62230;32934,0;431800,0;401306,62230" o:connectangles="0,0,0,0,0"/>
                      <w10:anchorlock/>
                    </v:shape>
                  </w:pict>
                </mc:Fallback>
              </mc:AlternateContent>
            </w:r>
          </w:p>
          <w:p w14:paraId="56C163D5" w14:textId="56C5DE9D" w:rsidR="00C53BB5" w:rsidRPr="00F965AC" w:rsidRDefault="00C53BB5" w:rsidP="0012579B">
            <w:pPr>
              <w:pStyle w:val="SContact-Title"/>
            </w:pPr>
            <w:r w:rsidRPr="00F965AC">
              <w:t>Pour plus d</w:t>
            </w:r>
            <w:r w:rsidR="00B93AD3">
              <w:t>’</w:t>
            </w:r>
            <w:r w:rsidRPr="00F965AC">
              <w:t>informations, merci de contacter :</w:t>
            </w:r>
          </w:p>
          <w:p w14:paraId="541FBA1E" w14:textId="77777777" w:rsidR="00C53BB5" w:rsidRPr="00DB731D" w:rsidRDefault="00C53BB5" w:rsidP="0012579B">
            <w:pPr>
              <w:pStyle w:val="SContact-Sendersinfo"/>
              <w:rPr>
                <w:sz w:val="22"/>
                <w:szCs w:val="22"/>
                <w:lang w:val="it-IT"/>
              </w:rPr>
            </w:pPr>
            <w:r w:rsidRPr="00DB731D">
              <w:rPr>
                <w:sz w:val="22"/>
                <w:szCs w:val="22"/>
                <w:lang w:val="it-IT"/>
              </w:rPr>
              <w:t xml:space="preserve">Fernão SILVEIRA </w:t>
            </w:r>
            <w:r w:rsidRPr="00DB731D">
              <w:rPr>
                <w:rFonts w:ascii="Encode Sans ExpandedLight" w:hAnsi="Encode Sans ExpandedLight"/>
                <w:sz w:val="22"/>
                <w:szCs w:val="22"/>
                <w:lang w:val="it-IT"/>
              </w:rPr>
              <w:t>+31 6 43 25 43 41 – fernao.silveira@stellantis.com</w:t>
            </w:r>
          </w:p>
          <w:p w14:paraId="603405A3" w14:textId="77777777" w:rsidR="00C53BB5" w:rsidRPr="00F965AC" w:rsidRDefault="00C53BB5" w:rsidP="0012579B">
            <w:pPr>
              <w:pStyle w:val="SContact-Sendersinfo"/>
              <w:rPr>
                <w:sz w:val="22"/>
                <w:szCs w:val="22"/>
              </w:rPr>
            </w:pPr>
            <w:r w:rsidRPr="00F965AC">
              <w:rPr>
                <w:sz w:val="22"/>
                <w:szCs w:val="22"/>
              </w:rPr>
              <w:t xml:space="preserve">Nathalie ROUSSEL </w:t>
            </w:r>
            <w:r w:rsidRPr="00F965AC">
              <w:rPr>
                <w:rFonts w:ascii="Encode Sans ExpandedLight" w:hAnsi="Encode Sans ExpandedLight"/>
                <w:sz w:val="22"/>
                <w:szCs w:val="22"/>
              </w:rPr>
              <w:t>+33 6 87 77 41 82 – nathalie.roussel@stellantis.com</w:t>
            </w:r>
          </w:p>
          <w:p w14:paraId="46C917E7" w14:textId="77777777" w:rsidR="00C53BB5" w:rsidRPr="00F965AC" w:rsidRDefault="00C53BB5" w:rsidP="0012579B">
            <w:pPr>
              <w:pStyle w:val="SFooter-Emailwebsite"/>
            </w:pPr>
            <w:r w:rsidRPr="00F965AC">
              <w:t>communications@stellantis.com</w:t>
            </w:r>
            <w:r w:rsidRPr="00F965AC">
              <w:br/>
            </w:r>
            <w:hyperlink r:id="rId18" w:history="1">
              <w:r w:rsidRPr="00F965AC">
                <w:rPr>
                  <w:rStyle w:val="Hyperlink"/>
                </w:rPr>
                <w:t>www.stellantis.com</w:t>
              </w:r>
            </w:hyperlink>
          </w:p>
          <w:p w14:paraId="2BA6E305" w14:textId="77777777" w:rsidR="00C53BB5" w:rsidRPr="00F965AC" w:rsidRDefault="00C53BB5" w:rsidP="0012579B">
            <w:pPr>
              <w:pStyle w:val="SFooter-Emailwebsite"/>
            </w:pPr>
          </w:p>
          <w:p w14:paraId="3C5FF216" w14:textId="77777777" w:rsidR="00C53BB5" w:rsidRPr="00F965AC" w:rsidRDefault="00C53BB5" w:rsidP="0012579B">
            <w:pPr>
              <w:pStyle w:val="SFooter-Emailwebsite"/>
            </w:pPr>
          </w:p>
          <w:p w14:paraId="47D70378" w14:textId="77777777" w:rsidR="00C53BB5" w:rsidRPr="00F965AC" w:rsidRDefault="00C53BB5" w:rsidP="0012579B">
            <w:pPr>
              <w:pStyle w:val="SFooter-Emailwebsite"/>
            </w:pPr>
          </w:p>
        </w:tc>
      </w:tr>
    </w:tbl>
    <w:p w14:paraId="69E8FC27" w14:textId="77777777" w:rsidR="00A33E8D" w:rsidRPr="00F86EDB" w:rsidRDefault="00A33E8D" w:rsidP="005612E0"/>
    <w:sectPr w:rsidR="00A33E8D" w:rsidRPr="00F86EDB" w:rsidSect="00E463CF">
      <w:footerReference w:type="default" r:id="rId19"/>
      <w:headerReference w:type="first" r:id="rId20"/>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209DA" w14:textId="77777777" w:rsidR="00A310A8" w:rsidRDefault="00A310A8" w:rsidP="0002070C">
      <w:r>
        <w:separator/>
      </w:r>
    </w:p>
  </w:endnote>
  <w:endnote w:type="continuationSeparator" w:id="0">
    <w:p w14:paraId="6312C3F1" w14:textId="77777777" w:rsidR="00A310A8" w:rsidRDefault="00A310A8"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C4955D6B-2B09-4C7B-8177-5FB2F6DBBB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69CF7A4D-0A8C-46C3-BA6F-95B0C391E45F}"/>
    <w:embedBold r:id="rId3" w:fontKey="{B2F9CAB2-9E2E-4093-8C1C-18A42C287F58}"/>
    <w:embedItalic r:id="rId4" w:fontKey="{E6FC1968-638C-4E70-A706-2676506B5542}"/>
  </w:font>
  <w:font w:name="Encode Sans ExpandedSemiBold">
    <w:panose1 w:val="00000000000000000000"/>
    <w:charset w:val="00"/>
    <w:family w:val="auto"/>
    <w:pitch w:val="variable"/>
    <w:sig w:usb0="A00000FF" w:usb1="4000207B" w:usb2="00000000" w:usb3="00000000" w:csb0="00000193" w:csb1="00000000"/>
    <w:embedRegular r:id="rId5" w:fontKey="{780342CB-65AB-4081-9657-AFA2AC60A7E4}"/>
    <w:embedItalic r:id="rId6" w:fontKey="{4213A71B-B6BF-4979-8283-308D7633363B}"/>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AAC2"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DB731D">
      <w:rPr>
        <w:rStyle w:val="PageNumber"/>
        <w:noProof/>
        <w:szCs w:val="16"/>
      </w:rPr>
      <w:t>4</w:t>
    </w:r>
    <w:r w:rsidRPr="00A51B6A">
      <w:rPr>
        <w:rStyle w:val="PageNumber"/>
        <w:szCs w:val="16"/>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4930" w14:textId="77777777" w:rsidR="00A310A8" w:rsidRDefault="00A310A8" w:rsidP="0002070C">
      <w:r>
        <w:separator/>
      </w:r>
    </w:p>
  </w:footnote>
  <w:footnote w:type="continuationSeparator" w:id="0">
    <w:p w14:paraId="716D6B3A" w14:textId="77777777" w:rsidR="00A310A8" w:rsidRDefault="00A310A8"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B310" w14:textId="77777777" w:rsidR="005F2120" w:rsidRDefault="00DB731D" w:rsidP="0002070C">
    <w:r>
      <w:rPr>
        <w:noProof/>
        <w:lang w:val="en-US"/>
      </w:rPr>
      <mc:AlternateContent>
        <mc:Choice Requires="wpg">
          <w:drawing>
            <wp:anchor distT="0" distB="0" distL="114300" distR="114300" simplePos="0" relativeHeight="251657728" behindDoc="1" locked="1" layoutInCell="1" allowOverlap="1" wp14:anchorId="650A284F" wp14:editId="51B9401B">
              <wp:simplePos x="0" y="0"/>
              <wp:positionH relativeFrom="page">
                <wp:posOffset>449580</wp:posOffset>
              </wp:positionH>
              <wp:positionV relativeFrom="page">
                <wp:posOffset>-83820</wp:posOffset>
              </wp:positionV>
              <wp:extent cx="269875" cy="2714625"/>
              <wp:effectExtent l="0" t="0" r="0" b="9525"/>
              <wp:wrapNone/>
              <wp:docPr id="3"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14625"/>
                        <a:chOff x="0" y="-160894"/>
                        <a:chExt cx="315912" cy="2907269"/>
                      </a:xfrm>
                    </wpg:grpSpPr>
                    <wps:wsp>
                      <wps:cNvPr id="5"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wps:cNvSpPr>
                        <a:spLocks noChangeArrowheads="1"/>
                      </wps:cNvSpPr>
                      <wps:spPr bwMode="auto">
                        <a:xfrm>
                          <a:off x="53975"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7" name="Oval 10"/>
                      <wps:cNvSpPr>
                        <a:spLocks noChangeArrowheads="1"/>
                      </wps:cNvSpPr>
                      <wps:spPr bwMode="auto">
                        <a:xfrm>
                          <a:off x="144462"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8" name="Oval 11"/>
                      <wps:cNvSpPr>
                        <a:spLocks noChangeArrowheads="1"/>
                      </wps:cNvSpPr>
                      <wps:spPr bwMode="auto">
                        <a:xfrm>
                          <a:off x="233362" y="2663825"/>
                          <a:ext cx="34925" cy="33338"/>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9" name="Oval 12"/>
                      <wps:cNvSpPr>
                        <a:spLocks noChangeArrowheads="1"/>
                      </wps:cNvSpPr>
                      <wps:spPr bwMode="auto">
                        <a:xfrm>
                          <a:off x="101600" y="2724150"/>
                          <a:ext cx="23812" cy="22225"/>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10" name="Oval 13"/>
                      <wps:cNvSpPr>
                        <a:spLocks noChangeArrowheads="1"/>
                      </wps:cNvSpPr>
                      <wps:spPr bwMode="auto">
                        <a:xfrm>
                          <a:off x="195262" y="2724150"/>
                          <a:ext cx="23812" cy="22225"/>
                        </a:xfrm>
                        <a:prstGeom prst="ellipse">
                          <a:avLst/>
                        </a:prstGeom>
                        <a:solidFill>
                          <a:srgbClr val="243782"/>
                        </a:solidFill>
                        <a:ln w="9525">
                          <a:noFill/>
                          <a:round/>
                          <a:headEnd/>
                          <a:tailEnd/>
                        </a:ln>
                      </wps:spPr>
                      <wps:bodyPr vert="horz" wrap="square" lIns="91440" tIns="45720" rIns="91440" bIns="45720" numCol="1" anchor="t" anchorCtr="0" compatLnSpc="1">
                        <a:prstTxWarp prst="textNoShape">
                          <a:avLst/>
                        </a:prstTxWarp>
                      </wps:bodyPr>
                    </wps:wsp>
                    <wps:wsp>
                      <wps:cNvPr id="11" name="Freeform 14"/>
                      <wps:cNvSpPr>
                        <a:spLocks/>
                      </wps:cNvSpPr>
                      <wps:spPr bwMode="auto">
                        <a:xfrm>
                          <a:off x="0" y="-160894"/>
                          <a:ext cx="315912" cy="2800907"/>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rgbClr val="24378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0CAC7"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41FFF5A1" w14:textId="77777777" w:rsidR="00A33E8D" w:rsidRPr="00683765" w:rsidRDefault="00A33E8D" w:rsidP="00297094">
                            <w:pPr>
                              <w:pStyle w:val="SPRESSRELEASE-TITLE"/>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0A284F" id="Groupe 29" o:spid="_x0000_s1026" style="position:absolute;left:0;text-align:left;margin-left:35.4pt;margin-top:-6.6pt;width:21.25pt;height:213.75pt;z-index:-251658752;mso-position-horizontal-relative:page;mso-position-vertical-relative:page;mso-width-relative:margin;mso-height-relative:margin" coordorigin=",-1608" coordsize="3159,2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" fillcolor="#243782"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" fillcolor="#243782"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" fillcolor="#243782"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" fillcolor="#243782"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" fillcolor="#243782" stroked="f"/>
              <v:shape id="Freeform 14" o:spid="_x0000_s1033" style="position:absolute;top:-1608;width:3159;height:28008;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stroked="f">
                <v:stroke joinstyle="round"/>
                <v:formulas/>
                <v:path arrowok="t" o:connecttype="custom" o:connectlocs="315912,0;0,0;0,2776865;0,2776865;0,2776865;23401,2800907;46802,2776865;46802,2776865;50702,2776865;70203,2756830;89703,2776865;89703,2776865;89703,2776865;113104,2800907;136505,2776865;136505,2776865;136505,2776865;159906,2756830;179407,2776865;179407,2776865;179407,2776865;179407,2776865;179407,2776865;202808,2800907;226209,2776865;226209,2776865;226209,2776865;245709,2756830;269110,2776865;269110,2776865;269110,2776865;292511,2800907;315912,2776865;315912,2776865;315912,2776865;315912,0" o:connectangles="0,0,0,0,0,0,0,0,0,0,0,0,0,0,0,0,0,0,0,0,0,0,0,0,0,0,0,0,0,0,0,0,0,0,0,0" textboxrect="0,0,81,699"/>
                <v:textbox style="layout-flow:vertical;mso-layout-flow-alt:bottom-to-top" inset=".7mm,0,1mm,5mm">
                  <w:txbxContent>
                    <w:p w14:paraId="01D0CAC7" w14:textId="77777777" w:rsidR="009355F4" w:rsidRPr="00743350" w:rsidRDefault="009355F4" w:rsidP="009355F4">
                      <w:pPr>
                        <w:pStyle w:val="SPRESSRELEASESTRIP"/>
                        <w:rPr>
                          <w:sz w:val="24"/>
                          <w:szCs w:val="14"/>
                          <w:lang w:val="en-US"/>
                        </w:rPr>
                      </w:pPr>
                      <w:r w:rsidRPr="00743350">
                        <w:rPr>
                          <w:sz w:val="24"/>
                          <w:szCs w:val="14"/>
                          <w:lang w:val="en-US"/>
                        </w:rPr>
                        <w:t>COMMUNIQUÉ DE PRESSE</w:t>
                      </w:r>
                    </w:p>
                    <w:p w14:paraId="41FFF5A1" w14:textId="77777777" w:rsidR="00A33E8D" w:rsidRPr="00683765" w:rsidRDefault="00A33E8D" w:rsidP="00297094">
                      <w:pPr>
                        <w:pStyle w:val="SPRESSRELEASE-TITLE"/>
                      </w:pPr>
                      <w:r>
                        <w:t>PRESSE</w:t>
                      </w:r>
                    </w:p>
                  </w:txbxContent>
                </v:textbox>
              </v:shape>
              <w10:wrap anchorx="page" anchory="page"/>
              <w10:anchorlock/>
            </v:group>
          </w:pict>
        </mc:Fallback>
      </mc:AlternateContent>
    </w:r>
    <w:r w:rsidRPr="00F965AC">
      <w:rPr>
        <w:noProof/>
        <w:lang w:val="en-US"/>
      </w:rPr>
      <w:drawing>
        <wp:inline distT="0" distB="0" distL="0" distR="0" wp14:anchorId="4ADD2ABE" wp14:editId="21BD9A2F">
          <wp:extent cx="2314575" cy="7143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8006"/>
                  <a:stretch>
                    <a:fillRect/>
                  </a:stretch>
                </pic:blipFill>
                <pic:spPr bwMode="auto">
                  <a:xfrm>
                    <a:off x="0" y="0"/>
                    <a:ext cx="23145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967CF"/>
    <w:multiLevelType w:val="multilevel"/>
    <w:tmpl w:val="90B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55EBE"/>
    <w:multiLevelType w:val="multilevel"/>
    <w:tmpl w:val="DD12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40FAE"/>
    <w:multiLevelType w:val="multilevel"/>
    <w:tmpl w:val="6C24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DB0F10"/>
    <w:multiLevelType w:val="hybridMultilevel"/>
    <w:tmpl w:val="07F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10E76"/>
    <w:multiLevelType w:val="multilevel"/>
    <w:tmpl w:val="F1F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4E12F5"/>
    <w:multiLevelType w:val="hybridMultilevel"/>
    <w:tmpl w:val="CC243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952713"/>
    <w:multiLevelType w:val="hybridMultilevel"/>
    <w:tmpl w:val="7B7A6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DBA166D"/>
    <w:multiLevelType w:val="multilevel"/>
    <w:tmpl w:val="1ECA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D13129"/>
    <w:multiLevelType w:val="hybridMultilevel"/>
    <w:tmpl w:val="4866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217EB"/>
    <w:multiLevelType w:val="multilevel"/>
    <w:tmpl w:val="7E2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9B0358"/>
    <w:multiLevelType w:val="hybridMultilevel"/>
    <w:tmpl w:val="DF5A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581266">
    <w:abstractNumId w:val="8"/>
  </w:num>
  <w:num w:numId="2" w16cid:durableId="1789815626">
    <w:abstractNumId w:val="3"/>
  </w:num>
  <w:num w:numId="3" w16cid:durableId="789586676">
    <w:abstractNumId w:val="2"/>
  </w:num>
  <w:num w:numId="4" w16cid:durableId="1864784600">
    <w:abstractNumId w:val="1"/>
  </w:num>
  <w:num w:numId="5" w16cid:durableId="98721552">
    <w:abstractNumId w:val="0"/>
  </w:num>
  <w:num w:numId="6" w16cid:durableId="2038313729">
    <w:abstractNumId w:val="9"/>
  </w:num>
  <w:num w:numId="7" w16cid:durableId="756370169">
    <w:abstractNumId w:val="7"/>
  </w:num>
  <w:num w:numId="8" w16cid:durableId="1230076148">
    <w:abstractNumId w:val="6"/>
  </w:num>
  <w:num w:numId="9" w16cid:durableId="753092070">
    <w:abstractNumId w:val="5"/>
  </w:num>
  <w:num w:numId="10" w16cid:durableId="1017998659">
    <w:abstractNumId w:val="4"/>
  </w:num>
  <w:num w:numId="11" w16cid:durableId="644238552">
    <w:abstractNumId w:val="18"/>
  </w:num>
  <w:num w:numId="12" w16cid:durableId="1749841250">
    <w:abstractNumId w:val="14"/>
  </w:num>
  <w:num w:numId="13" w16cid:durableId="1229804177">
    <w:abstractNumId w:val="20"/>
  </w:num>
  <w:num w:numId="14" w16cid:durableId="2051415094">
    <w:abstractNumId w:val="16"/>
  </w:num>
  <w:num w:numId="15" w16cid:durableId="936596083">
    <w:abstractNumId w:val="13"/>
  </w:num>
  <w:num w:numId="16" w16cid:durableId="2131505802">
    <w:abstractNumId w:val="11"/>
  </w:num>
  <w:num w:numId="17" w16cid:durableId="1007753342">
    <w:abstractNumId w:val="10"/>
  </w:num>
  <w:num w:numId="18" w16cid:durableId="2065712499">
    <w:abstractNumId w:val="21"/>
  </w:num>
  <w:num w:numId="19" w16cid:durableId="1320884650">
    <w:abstractNumId w:val="17"/>
  </w:num>
  <w:num w:numId="20" w16cid:durableId="505439136">
    <w:abstractNumId w:val="12"/>
  </w:num>
  <w:num w:numId="21" w16cid:durableId="1079863195">
    <w:abstractNumId w:val="19"/>
  </w:num>
  <w:num w:numId="22" w16cid:durableId="17080969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MwMTSxNDUzMTExNDdR0lEKTi0uzszPAykwqgUAgGFihiwAAAA="/>
  </w:docVars>
  <w:rsids>
    <w:rsidRoot w:val="00A61CA9"/>
    <w:rsid w:val="00000BC0"/>
    <w:rsid w:val="000015E9"/>
    <w:rsid w:val="0002070C"/>
    <w:rsid w:val="0002217B"/>
    <w:rsid w:val="000223A1"/>
    <w:rsid w:val="00024492"/>
    <w:rsid w:val="00025506"/>
    <w:rsid w:val="00040FEE"/>
    <w:rsid w:val="00051744"/>
    <w:rsid w:val="00083550"/>
    <w:rsid w:val="00087566"/>
    <w:rsid w:val="00087FF0"/>
    <w:rsid w:val="000C18FF"/>
    <w:rsid w:val="000D3446"/>
    <w:rsid w:val="00120654"/>
    <w:rsid w:val="0012579B"/>
    <w:rsid w:val="001330BF"/>
    <w:rsid w:val="001344FD"/>
    <w:rsid w:val="001471F2"/>
    <w:rsid w:val="00175DA5"/>
    <w:rsid w:val="00175F80"/>
    <w:rsid w:val="00184204"/>
    <w:rsid w:val="00190445"/>
    <w:rsid w:val="001935D1"/>
    <w:rsid w:val="001B1FE3"/>
    <w:rsid w:val="001B31CD"/>
    <w:rsid w:val="001B4263"/>
    <w:rsid w:val="001B591C"/>
    <w:rsid w:val="001E3A5D"/>
    <w:rsid w:val="001E7847"/>
    <w:rsid w:val="00211990"/>
    <w:rsid w:val="00220B6B"/>
    <w:rsid w:val="00256BCE"/>
    <w:rsid w:val="00276DD6"/>
    <w:rsid w:val="002836DD"/>
    <w:rsid w:val="002869D8"/>
    <w:rsid w:val="00293E0C"/>
    <w:rsid w:val="00297094"/>
    <w:rsid w:val="002B0BAA"/>
    <w:rsid w:val="002B0EEF"/>
    <w:rsid w:val="002C508D"/>
    <w:rsid w:val="002F18EC"/>
    <w:rsid w:val="002F41EC"/>
    <w:rsid w:val="0030083E"/>
    <w:rsid w:val="00322E63"/>
    <w:rsid w:val="00327978"/>
    <w:rsid w:val="003418CF"/>
    <w:rsid w:val="003575B6"/>
    <w:rsid w:val="0036017D"/>
    <w:rsid w:val="0036665A"/>
    <w:rsid w:val="003864AD"/>
    <w:rsid w:val="003A199B"/>
    <w:rsid w:val="003A6735"/>
    <w:rsid w:val="003E0460"/>
    <w:rsid w:val="003E5751"/>
    <w:rsid w:val="003E68CC"/>
    <w:rsid w:val="00400B91"/>
    <w:rsid w:val="004022B4"/>
    <w:rsid w:val="00411411"/>
    <w:rsid w:val="0041411F"/>
    <w:rsid w:val="00425677"/>
    <w:rsid w:val="00433EDD"/>
    <w:rsid w:val="004345F9"/>
    <w:rsid w:val="00435A0E"/>
    <w:rsid w:val="0044219E"/>
    <w:rsid w:val="0044265B"/>
    <w:rsid w:val="0045216F"/>
    <w:rsid w:val="00473BEF"/>
    <w:rsid w:val="0047469A"/>
    <w:rsid w:val="004778F4"/>
    <w:rsid w:val="00494983"/>
    <w:rsid w:val="00495968"/>
    <w:rsid w:val="004A2B09"/>
    <w:rsid w:val="004B5BE7"/>
    <w:rsid w:val="004D25D1"/>
    <w:rsid w:val="004D61EA"/>
    <w:rsid w:val="004E0286"/>
    <w:rsid w:val="00515C12"/>
    <w:rsid w:val="00525CCB"/>
    <w:rsid w:val="00537DB3"/>
    <w:rsid w:val="00544345"/>
    <w:rsid w:val="005612E0"/>
    <w:rsid w:val="005708BD"/>
    <w:rsid w:val="005C1F23"/>
    <w:rsid w:val="005C5158"/>
    <w:rsid w:val="005C775F"/>
    <w:rsid w:val="005E3C99"/>
    <w:rsid w:val="005F2120"/>
    <w:rsid w:val="006074EF"/>
    <w:rsid w:val="00613FB1"/>
    <w:rsid w:val="0061518F"/>
    <w:rsid w:val="0061682B"/>
    <w:rsid w:val="00620264"/>
    <w:rsid w:val="0062080C"/>
    <w:rsid w:val="006279C9"/>
    <w:rsid w:val="006338ED"/>
    <w:rsid w:val="00646166"/>
    <w:rsid w:val="0065024B"/>
    <w:rsid w:val="00655949"/>
    <w:rsid w:val="00655A10"/>
    <w:rsid w:val="00675B12"/>
    <w:rsid w:val="00682310"/>
    <w:rsid w:val="006832D9"/>
    <w:rsid w:val="00683765"/>
    <w:rsid w:val="00683B2B"/>
    <w:rsid w:val="0069297F"/>
    <w:rsid w:val="006A6952"/>
    <w:rsid w:val="006B0549"/>
    <w:rsid w:val="006B5C7E"/>
    <w:rsid w:val="006E27BF"/>
    <w:rsid w:val="006F3D5A"/>
    <w:rsid w:val="00715647"/>
    <w:rsid w:val="00716893"/>
    <w:rsid w:val="007249F6"/>
    <w:rsid w:val="00730231"/>
    <w:rsid w:val="00730F85"/>
    <w:rsid w:val="00736170"/>
    <w:rsid w:val="00742F80"/>
    <w:rsid w:val="00745CE1"/>
    <w:rsid w:val="00776357"/>
    <w:rsid w:val="00787394"/>
    <w:rsid w:val="007A46E2"/>
    <w:rsid w:val="007C10AA"/>
    <w:rsid w:val="007E0293"/>
    <w:rsid w:val="007E317D"/>
    <w:rsid w:val="007E49CE"/>
    <w:rsid w:val="007F5C8D"/>
    <w:rsid w:val="0080313B"/>
    <w:rsid w:val="00803844"/>
    <w:rsid w:val="00805FAA"/>
    <w:rsid w:val="008124BD"/>
    <w:rsid w:val="00815B14"/>
    <w:rsid w:val="0082786D"/>
    <w:rsid w:val="00837340"/>
    <w:rsid w:val="008378BB"/>
    <w:rsid w:val="00844956"/>
    <w:rsid w:val="00846063"/>
    <w:rsid w:val="0085397B"/>
    <w:rsid w:val="0086416D"/>
    <w:rsid w:val="00877117"/>
    <w:rsid w:val="00877BF7"/>
    <w:rsid w:val="00881A2F"/>
    <w:rsid w:val="00885B22"/>
    <w:rsid w:val="008A05F6"/>
    <w:rsid w:val="008B02AC"/>
    <w:rsid w:val="008B0D4F"/>
    <w:rsid w:val="008B4177"/>
    <w:rsid w:val="008B4CD5"/>
    <w:rsid w:val="008D2A7A"/>
    <w:rsid w:val="008E3F36"/>
    <w:rsid w:val="008F0F07"/>
    <w:rsid w:val="008F2A13"/>
    <w:rsid w:val="008F79B9"/>
    <w:rsid w:val="00902A0E"/>
    <w:rsid w:val="009070B0"/>
    <w:rsid w:val="009355F4"/>
    <w:rsid w:val="00944963"/>
    <w:rsid w:val="009717C0"/>
    <w:rsid w:val="00972B65"/>
    <w:rsid w:val="00992BE1"/>
    <w:rsid w:val="009968C5"/>
    <w:rsid w:val="009A23AB"/>
    <w:rsid w:val="009C589C"/>
    <w:rsid w:val="009D180E"/>
    <w:rsid w:val="009D2071"/>
    <w:rsid w:val="009D4119"/>
    <w:rsid w:val="009F2D88"/>
    <w:rsid w:val="009F3C83"/>
    <w:rsid w:val="009F7556"/>
    <w:rsid w:val="00A03F9F"/>
    <w:rsid w:val="00A14F62"/>
    <w:rsid w:val="00A310A8"/>
    <w:rsid w:val="00A33E8D"/>
    <w:rsid w:val="00A36A20"/>
    <w:rsid w:val="00A51B6A"/>
    <w:rsid w:val="00A571A3"/>
    <w:rsid w:val="00A61CA9"/>
    <w:rsid w:val="00A71966"/>
    <w:rsid w:val="00A75948"/>
    <w:rsid w:val="00A87390"/>
    <w:rsid w:val="00A95DCD"/>
    <w:rsid w:val="00AB3D01"/>
    <w:rsid w:val="00AE0E14"/>
    <w:rsid w:val="00AE5186"/>
    <w:rsid w:val="00AF4CE0"/>
    <w:rsid w:val="00B02391"/>
    <w:rsid w:val="00B04F0B"/>
    <w:rsid w:val="00B14B61"/>
    <w:rsid w:val="00B32F4C"/>
    <w:rsid w:val="00B41052"/>
    <w:rsid w:val="00B643EA"/>
    <w:rsid w:val="00B64F18"/>
    <w:rsid w:val="00B82C57"/>
    <w:rsid w:val="00B92FB1"/>
    <w:rsid w:val="00B93AD3"/>
    <w:rsid w:val="00BC5305"/>
    <w:rsid w:val="00BC596C"/>
    <w:rsid w:val="00BD2ADB"/>
    <w:rsid w:val="00BE6DB5"/>
    <w:rsid w:val="00BE7982"/>
    <w:rsid w:val="00C00935"/>
    <w:rsid w:val="00C0565E"/>
    <w:rsid w:val="00C10E75"/>
    <w:rsid w:val="00C21B90"/>
    <w:rsid w:val="00C31F14"/>
    <w:rsid w:val="00C400FB"/>
    <w:rsid w:val="00C40A0E"/>
    <w:rsid w:val="00C508B7"/>
    <w:rsid w:val="00C53BB5"/>
    <w:rsid w:val="00C60A64"/>
    <w:rsid w:val="00C63CC0"/>
    <w:rsid w:val="00C81D0B"/>
    <w:rsid w:val="00C946EC"/>
    <w:rsid w:val="00CA108B"/>
    <w:rsid w:val="00CA3356"/>
    <w:rsid w:val="00CB0D62"/>
    <w:rsid w:val="00CD2106"/>
    <w:rsid w:val="00CF713A"/>
    <w:rsid w:val="00D00BDF"/>
    <w:rsid w:val="00D01F70"/>
    <w:rsid w:val="00D205A0"/>
    <w:rsid w:val="00D22355"/>
    <w:rsid w:val="00D265D9"/>
    <w:rsid w:val="00D30F27"/>
    <w:rsid w:val="00D35611"/>
    <w:rsid w:val="00D5456A"/>
    <w:rsid w:val="00D54C2A"/>
    <w:rsid w:val="00D57C97"/>
    <w:rsid w:val="00D71A4D"/>
    <w:rsid w:val="00D810AC"/>
    <w:rsid w:val="00DA27E1"/>
    <w:rsid w:val="00DB731D"/>
    <w:rsid w:val="00DC3B73"/>
    <w:rsid w:val="00DC777D"/>
    <w:rsid w:val="00DE72B9"/>
    <w:rsid w:val="00DF4282"/>
    <w:rsid w:val="00DF6BDB"/>
    <w:rsid w:val="00E07810"/>
    <w:rsid w:val="00E10C89"/>
    <w:rsid w:val="00E21673"/>
    <w:rsid w:val="00E23B0D"/>
    <w:rsid w:val="00E463CF"/>
    <w:rsid w:val="00E47347"/>
    <w:rsid w:val="00E47650"/>
    <w:rsid w:val="00E5391D"/>
    <w:rsid w:val="00E6098E"/>
    <w:rsid w:val="00E613A1"/>
    <w:rsid w:val="00E63CA7"/>
    <w:rsid w:val="00E725B1"/>
    <w:rsid w:val="00E75EF3"/>
    <w:rsid w:val="00E91808"/>
    <w:rsid w:val="00ED6DDE"/>
    <w:rsid w:val="00EE0F4C"/>
    <w:rsid w:val="00EE1EDD"/>
    <w:rsid w:val="00F423D1"/>
    <w:rsid w:val="00F5284E"/>
    <w:rsid w:val="00F53DEC"/>
    <w:rsid w:val="00F74B70"/>
    <w:rsid w:val="00F77BFA"/>
    <w:rsid w:val="00F86EDB"/>
    <w:rsid w:val="00F965AC"/>
    <w:rsid w:val="00FB1BE1"/>
    <w:rsid w:val="00FB2C4C"/>
    <w:rsid w:val="00FB4171"/>
    <w:rsid w:val="00FB4F2C"/>
    <w:rsid w:val="00FC1505"/>
    <w:rsid w:val="00FD087F"/>
    <w:rsid w:val="00FD6CFC"/>
    <w:rsid w:val="00FE0E09"/>
    <w:rsid w:val="00FF45CC"/>
    <w:rsid w:val="0148F902"/>
    <w:rsid w:val="0287EF19"/>
    <w:rsid w:val="04A8E4A4"/>
    <w:rsid w:val="05DAEA74"/>
    <w:rsid w:val="0D67CAD7"/>
    <w:rsid w:val="0E93C511"/>
    <w:rsid w:val="11024282"/>
    <w:rsid w:val="110A3008"/>
    <w:rsid w:val="1441D0CA"/>
    <w:rsid w:val="14445A43"/>
    <w:rsid w:val="14E9DE38"/>
    <w:rsid w:val="15D5B3A5"/>
    <w:rsid w:val="15F95BFA"/>
    <w:rsid w:val="1BFF72C9"/>
    <w:rsid w:val="1C66FB1A"/>
    <w:rsid w:val="1C996DBA"/>
    <w:rsid w:val="1D63D924"/>
    <w:rsid w:val="1F848371"/>
    <w:rsid w:val="21072B75"/>
    <w:rsid w:val="25714E2A"/>
    <w:rsid w:val="25DA9C98"/>
    <w:rsid w:val="263362D0"/>
    <w:rsid w:val="277CE2AC"/>
    <w:rsid w:val="28A8ED04"/>
    <w:rsid w:val="2A64F777"/>
    <w:rsid w:val="2B44E052"/>
    <w:rsid w:val="2BA1D0AE"/>
    <w:rsid w:val="2C49DE1C"/>
    <w:rsid w:val="2E15583E"/>
    <w:rsid w:val="301F00C3"/>
    <w:rsid w:val="30B07576"/>
    <w:rsid w:val="3312FACE"/>
    <w:rsid w:val="374B9FC9"/>
    <w:rsid w:val="392633A4"/>
    <w:rsid w:val="3B964818"/>
    <w:rsid w:val="3BF77E88"/>
    <w:rsid w:val="3E166895"/>
    <w:rsid w:val="3FCABE1E"/>
    <w:rsid w:val="42816EB2"/>
    <w:rsid w:val="43D9DB33"/>
    <w:rsid w:val="44730151"/>
    <w:rsid w:val="45A619A4"/>
    <w:rsid w:val="45FC1F08"/>
    <w:rsid w:val="46C292FA"/>
    <w:rsid w:val="48C8EE1E"/>
    <w:rsid w:val="499DAAF1"/>
    <w:rsid w:val="49BC3F75"/>
    <w:rsid w:val="4B96B700"/>
    <w:rsid w:val="522C1EEF"/>
    <w:rsid w:val="553EF57C"/>
    <w:rsid w:val="575B7F84"/>
    <w:rsid w:val="5F1C4EB1"/>
    <w:rsid w:val="62101EF4"/>
    <w:rsid w:val="622F900F"/>
    <w:rsid w:val="63277866"/>
    <w:rsid w:val="66D01788"/>
    <w:rsid w:val="66D7D92D"/>
    <w:rsid w:val="67920CDF"/>
    <w:rsid w:val="698E0ECA"/>
    <w:rsid w:val="6A0DDB96"/>
    <w:rsid w:val="6BE6D9FB"/>
    <w:rsid w:val="6D0808FA"/>
    <w:rsid w:val="6E5F8FF6"/>
    <w:rsid w:val="6FFB6057"/>
    <w:rsid w:val="721F9FED"/>
    <w:rsid w:val="764D0278"/>
    <w:rsid w:val="770574EE"/>
    <w:rsid w:val="777A7AA2"/>
    <w:rsid w:val="78C3CAC1"/>
    <w:rsid w:val="78EBFB5B"/>
    <w:rsid w:val="7A7CDD33"/>
    <w:rsid w:val="7AA4C39E"/>
    <w:rsid w:val="7B3E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4D693A"/>
  <w15:chartTrackingRefBased/>
  <w15:docId w15:val="{021282E0-DA6C-4C2B-A850-A6B533DF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ExpandedLight" w:eastAsia="Encode Sans ExpandedLight" w:hAnsi="Encode Sans ExpandedLigh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szCs w:val="1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rPr>
  </w:style>
  <w:style w:type="character" w:customStyle="1" w:styleId="HeaderChar">
    <w:name w:val="Header Char"/>
    <w:link w:val="Header"/>
    <w:uiPriority w:val="99"/>
    <w:semiHidden/>
    <w:rsid w:val="0086416D"/>
    <w:rPr>
      <w:color w:val="243782"/>
      <w:lang w:val="fr-FR"/>
    </w:rPr>
  </w:style>
  <w:style w:type="paragraph" w:styleId="Footer">
    <w:name w:val="footer"/>
    <w:basedOn w:val="Normal"/>
    <w:link w:val="FooterChar"/>
    <w:uiPriority w:val="99"/>
    <w:semiHidden/>
    <w:rsid w:val="005F2120"/>
    <w:pPr>
      <w:jc w:val="left"/>
    </w:pPr>
    <w:rPr>
      <w:color w:val="243782"/>
    </w:rPr>
  </w:style>
  <w:style w:type="character" w:customStyle="1" w:styleId="FooterChar">
    <w:name w:val="Footer Char"/>
    <w:link w:val="Footer"/>
    <w:uiPriority w:val="99"/>
    <w:semiHidden/>
    <w:rsid w:val="0086416D"/>
    <w:rPr>
      <w:color w:val="243782"/>
      <w:lang w:val="fr-FR"/>
    </w:rPr>
  </w:style>
  <w:style w:type="character" w:styleId="Hyperlink">
    <w:name w:val="Hyperlink"/>
    <w:uiPriority w:val="99"/>
    <w:semiHidden/>
    <w:rsid w:val="005F2120"/>
    <w:rPr>
      <w:color w:val="243782"/>
      <w:u w:val="none"/>
    </w:rPr>
  </w:style>
  <w:style w:type="character" w:styleId="PlaceholderText">
    <w:name w:val="Placeholder Tex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Encode Sans ExpandedSemiBold" w:hAnsi="Encode Sans ExpandedSemiBold"/>
      <w:bCs/>
      <w:noProof/>
      <w:color w:val="243782"/>
      <w:szCs w:val="24"/>
    </w:rPr>
  </w:style>
  <w:style w:type="paragraph" w:customStyle="1" w:styleId="STITLE">
    <w:name w:val="S_TITLE"/>
    <w:basedOn w:val="Normal"/>
    <w:next w:val="Normal"/>
    <w:uiPriority w:val="1"/>
    <w:qFormat/>
    <w:rsid w:val="00FD087F"/>
    <w:pPr>
      <w:keepNext/>
      <w:spacing w:before="240"/>
      <w:jc w:val="left"/>
    </w:pPr>
    <w:rPr>
      <w:caps/>
      <w:color w:val="24378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Encode Sans ExpandedSemiBold" w:hAnsi="Encode Sans ExpandedSemiBold"/>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Encode Sans ExpandedSemiBold" w:hAnsi="Encode Sans ExpandedSemiBold"/>
      <w:color w:val="243782"/>
    </w:rPr>
  </w:style>
  <w:style w:type="paragraph" w:customStyle="1" w:styleId="SContact-Sendersinfo">
    <w:name w:val="S_Contact - Sender's info"/>
    <w:basedOn w:val="Normal"/>
    <w:qFormat/>
    <w:rsid w:val="0082786D"/>
    <w:pPr>
      <w:spacing w:before="240" w:line="360" w:lineRule="auto"/>
      <w:contextualSpacing/>
    </w:pPr>
    <w:rPr>
      <w:rFonts w:ascii="Encode Sans ExpandedSemiBold" w:hAnsi="Encode Sans ExpandedSemiBold"/>
      <w:color w:val="243782"/>
    </w:rPr>
  </w:style>
  <w:style w:type="paragraph" w:customStyle="1" w:styleId="SFooter-Emailwebsite">
    <w:name w:val="S_Footer - Email + website"/>
    <w:basedOn w:val="Normal"/>
    <w:qFormat/>
    <w:rsid w:val="00D00BDF"/>
    <w:pPr>
      <w:spacing w:before="120"/>
      <w:contextualSpacing/>
    </w:pPr>
    <w:rPr>
      <w:color w:val="24378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link w:val="SPagination"/>
    <w:rsid w:val="00885B22"/>
    <w:rPr>
      <w:rFonts w:ascii="Encode Sans ExpandedLight" w:hAnsi="Encode Sans ExpandedLight"/>
      <w:color w:val="24378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character" w:customStyle="1" w:styleId="normaltextrun">
    <w:name w:val="normaltextrun"/>
    <w:basedOn w:val="DefaultParagraphFont"/>
    <w:rsid w:val="00BE7982"/>
  </w:style>
  <w:style w:type="character" w:customStyle="1" w:styleId="eop">
    <w:name w:val="eop"/>
    <w:basedOn w:val="DefaultParagraphFont"/>
    <w:rsid w:val="00BE7982"/>
  </w:style>
  <w:style w:type="paragraph" w:customStyle="1" w:styleId="paragraph">
    <w:name w:val="paragraph"/>
    <w:basedOn w:val="Normal"/>
    <w:rsid w:val="00BE7982"/>
    <w:pPr>
      <w:spacing w:before="100" w:beforeAutospacing="1" w:after="100" w:afterAutospacing="1"/>
      <w:jc w:val="left"/>
    </w:pPr>
    <w:rPr>
      <w:rFonts w:ascii="Times New Roman" w:eastAsia="Times New Roman" w:hAnsi="Times New Roman"/>
      <w:szCs w:val="24"/>
    </w:rPr>
  </w:style>
  <w:style w:type="paragraph" w:styleId="Revision">
    <w:name w:val="Revision"/>
    <w:hidden/>
    <w:uiPriority w:val="99"/>
    <w:semiHidden/>
    <w:rsid w:val="001935D1"/>
    <w:rPr>
      <w:sz w:val="24"/>
      <w:szCs w:val="16"/>
      <w:lang w:val="fr-FR"/>
    </w:rPr>
  </w:style>
  <w:style w:type="character" w:styleId="CommentReference">
    <w:name w:val="annotation reference"/>
    <w:uiPriority w:val="99"/>
    <w:semiHidden/>
    <w:rsid w:val="00D205A0"/>
    <w:rPr>
      <w:sz w:val="16"/>
      <w:szCs w:val="16"/>
    </w:rPr>
  </w:style>
  <w:style w:type="paragraph" w:styleId="CommentText">
    <w:name w:val="annotation text"/>
    <w:basedOn w:val="Normal"/>
    <w:link w:val="CommentTextChar"/>
    <w:uiPriority w:val="99"/>
    <w:semiHidden/>
    <w:rsid w:val="00D205A0"/>
    <w:rPr>
      <w:sz w:val="20"/>
      <w:szCs w:val="20"/>
    </w:rPr>
  </w:style>
  <w:style w:type="character" w:customStyle="1" w:styleId="CommentTextChar">
    <w:name w:val="Comment Text Char"/>
    <w:link w:val="CommentText"/>
    <w:uiPriority w:val="99"/>
    <w:semiHidden/>
    <w:rsid w:val="00D205A0"/>
    <w:rPr>
      <w:sz w:val="20"/>
      <w:szCs w:val="20"/>
      <w:lang w:val="fr-FR"/>
    </w:rPr>
  </w:style>
  <w:style w:type="paragraph" w:styleId="CommentSubject">
    <w:name w:val="annotation subject"/>
    <w:basedOn w:val="CommentText"/>
    <w:next w:val="CommentText"/>
    <w:link w:val="CommentSubjectChar"/>
    <w:uiPriority w:val="99"/>
    <w:semiHidden/>
    <w:unhideWhenUsed/>
    <w:rsid w:val="00D205A0"/>
    <w:rPr>
      <w:b/>
      <w:bCs/>
    </w:rPr>
  </w:style>
  <w:style w:type="character" w:customStyle="1" w:styleId="CommentSubjectChar">
    <w:name w:val="Comment Subject Char"/>
    <w:link w:val="CommentSubject"/>
    <w:uiPriority w:val="99"/>
    <w:semiHidden/>
    <w:rsid w:val="00D205A0"/>
    <w:rPr>
      <w:b/>
      <w:bCs/>
      <w:sz w:val="20"/>
      <w:szCs w:val="20"/>
      <w:lang w:val="fr-FR"/>
    </w:rPr>
  </w:style>
  <w:style w:type="paragraph" w:customStyle="1" w:styleId="SPRESSRELEASESTRIP">
    <w:name w:val="S_PRESS RELEASE STRIP"/>
    <w:basedOn w:val="Normal"/>
    <w:qFormat/>
    <w:rsid w:val="009355F4"/>
    <w:rPr>
      <w:sz w:val="26"/>
    </w:rPr>
  </w:style>
  <w:style w:type="character" w:customStyle="1" w:styleId="SContact-TitleCar">
    <w:name w:val="S_Contact - Title Car"/>
    <w:link w:val="SContact-Title"/>
    <w:rsid w:val="00CF713A"/>
    <w:rPr>
      <w:rFonts w:ascii="Encode Sans ExpandedSemiBold" w:hAnsi="Encode Sans ExpandedSemiBold"/>
      <w:color w:val="243782"/>
      <w:sz w:val="24"/>
    </w:rPr>
  </w:style>
  <w:style w:type="character" w:customStyle="1" w:styleId="Mentionnonrsolue2">
    <w:name w:val="Mention non résolue2"/>
    <w:uiPriority w:val="99"/>
    <w:semiHidden/>
    <w:unhideWhenUsed/>
    <w:rsid w:val="00C53BB5"/>
    <w:rPr>
      <w:color w:val="605E5C"/>
      <w:shd w:val="clear" w:color="auto" w:fill="E1DFDD"/>
    </w:rPr>
  </w:style>
  <w:style w:type="paragraph" w:customStyle="1" w:styleId="SSubjectBlock">
    <w:name w:val="S_Subject Block"/>
    <w:basedOn w:val="Normal"/>
    <w:qFormat/>
    <w:rsid w:val="00DB731D"/>
    <w:pPr>
      <w:spacing w:before="1800" w:after="480"/>
      <w:contextualSpacing/>
      <w:jc w:val="center"/>
    </w:pPr>
    <w:rPr>
      <w:rFonts w:ascii="Encode Sans ExpandedSemiBold" w:hAnsi="Encode Sans ExpandedSemiBold"/>
      <w:noProof/>
      <w:color w:val="243782"/>
      <w:szCs w:val="18"/>
    </w:rPr>
  </w:style>
  <w:style w:type="character" w:styleId="UnresolvedMention">
    <w:name w:val="Unresolved Mention"/>
    <w:basedOn w:val="DefaultParagraphFont"/>
    <w:uiPriority w:val="99"/>
    <w:semiHidden/>
    <w:unhideWhenUsed/>
    <w:rsid w:val="001344FD"/>
    <w:rPr>
      <w:color w:val="605E5C"/>
      <w:shd w:val="clear" w:color="auto" w:fill="E1DFDD"/>
    </w:rPr>
  </w:style>
  <w:style w:type="character" w:styleId="FollowedHyperlink">
    <w:name w:val="FollowedHyperlink"/>
    <w:basedOn w:val="DefaultParagraphFont"/>
    <w:uiPriority w:val="99"/>
    <w:semiHidden/>
    <w:rsid w:val="00184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782">
      <w:bodyDiv w:val="1"/>
      <w:marLeft w:val="0"/>
      <w:marRight w:val="0"/>
      <w:marTop w:val="0"/>
      <w:marBottom w:val="0"/>
      <w:divBdr>
        <w:top w:val="none" w:sz="0" w:space="0" w:color="auto"/>
        <w:left w:val="none" w:sz="0" w:space="0" w:color="auto"/>
        <w:bottom w:val="none" w:sz="0" w:space="0" w:color="auto"/>
        <w:right w:val="none" w:sz="0" w:space="0" w:color="auto"/>
      </w:divBdr>
      <w:divsChild>
        <w:div w:id="14550444">
          <w:marLeft w:val="0"/>
          <w:marRight w:val="0"/>
          <w:marTop w:val="0"/>
          <w:marBottom w:val="0"/>
          <w:divBdr>
            <w:top w:val="none" w:sz="0" w:space="0" w:color="auto"/>
            <w:left w:val="none" w:sz="0" w:space="0" w:color="auto"/>
            <w:bottom w:val="none" w:sz="0" w:space="0" w:color="auto"/>
            <w:right w:val="none" w:sz="0" w:space="0" w:color="auto"/>
          </w:divBdr>
        </w:div>
        <w:div w:id="1054281350">
          <w:marLeft w:val="0"/>
          <w:marRight w:val="0"/>
          <w:marTop w:val="0"/>
          <w:marBottom w:val="0"/>
          <w:divBdr>
            <w:top w:val="none" w:sz="0" w:space="0" w:color="auto"/>
            <w:left w:val="none" w:sz="0" w:space="0" w:color="auto"/>
            <w:bottom w:val="none" w:sz="0" w:space="0" w:color="auto"/>
            <w:right w:val="none" w:sz="0" w:space="0" w:color="auto"/>
          </w:divBdr>
        </w:div>
        <w:div w:id="1903131699">
          <w:marLeft w:val="0"/>
          <w:marRight w:val="0"/>
          <w:marTop w:val="0"/>
          <w:marBottom w:val="0"/>
          <w:divBdr>
            <w:top w:val="none" w:sz="0" w:space="0" w:color="auto"/>
            <w:left w:val="none" w:sz="0" w:space="0" w:color="auto"/>
            <w:bottom w:val="none" w:sz="0" w:space="0" w:color="auto"/>
            <w:right w:val="none" w:sz="0" w:space="0" w:color="auto"/>
          </w:divBdr>
        </w:div>
      </w:divsChild>
    </w:div>
    <w:div w:id="916088864">
      <w:bodyDiv w:val="1"/>
      <w:marLeft w:val="0"/>
      <w:marRight w:val="0"/>
      <w:marTop w:val="0"/>
      <w:marBottom w:val="0"/>
      <w:divBdr>
        <w:top w:val="none" w:sz="0" w:space="0" w:color="auto"/>
        <w:left w:val="none" w:sz="0" w:space="0" w:color="auto"/>
        <w:bottom w:val="none" w:sz="0" w:space="0" w:color="auto"/>
        <w:right w:val="none" w:sz="0" w:space="0" w:color="auto"/>
      </w:divBdr>
      <w:divsChild>
        <w:div w:id="210768158">
          <w:marLeft w:val="0"/>
          <w:marRight w:val="0"/>
          <w:marTop w:val="0"/>
          <w:marBottom w:val="0"/>
          <w:divBdr>
            <w:top w:val="none" w:sz="0" w:space="0" w:color="auto"/>
            <w:left w:val="none" w:sz="0" w:space="0" w:color="auto"/>
            <w:bottom w:val="none" w:sz="0" w:space="0" w:color="auto"/>
            <w:right w:val="none" w:sz="0" w:space="0" w:color="auto"/>
          </w:divBdr>
          <w:divsChild>
            <w:div w:id="1584290776">
              <w:marLeft w:val="0"/>
              <w:marRight w:val="0"/>
              <w:marTop w:val="0"/>
              <w:marBottom w:val="0"/>
              <w:divBdr>
                <w:top w:val="none" w:sz="0" w:space="0" w:color="auto"/>
                <w:left w:val="none" w:sz="0" w:space="0" w:color="auto"/>
                <w:bottom w:val="none" w:sz="0" w:space="0" w:color="auto"/>
                <w:right w:val="none" w:sz="0" w:space="0" w:color="auto"/>
              </w:divBdr>
            </w:div>
          </w:divsChild>
        </w:div>
        <w:div w:id="580605274">
          <w:marLeft w:val="0"/>
          <w:marRight w:val="0"/>
          <w:marTop w:val="0"/>
          <w:marBottom w:val="0"/>
          <w:divBdr>
            <w:top w:val="none" w:sz="0" w:space="0" w:color="auto"/>
            <w:left w:val="none" w:sz="0" w:space="0" w:color="auto"/>
            <w:bottom w:val="none" w:sz="0" w:space="0" w:color="auto"/>
            <w:right w:val="none" w:sz="0" w:space="0" w:color="auto"/>
          </w:divBdr>
          <w:divsChild>
            <w:div w:id="1386224305">
              <w:marLeft w:val="0"/>
              <w:marRight w:val="0"/>
              <w:marTop w:val="0"/>
              <w:marBottom w:val="0"/>
              <w:divBdr>
                <w:top w:val="none" w:sz="0" w:space="0" w:color="auto"/>
                <w:left w:val="none" w:sz="0" w:space="0" w:color="auto"/>
                <w:bottom w:val="none" w:sz="0" w:space="0" w:color="auto"/>
                <w:right w:val="none" w:sz="0" w:space="0" w:color="auto"/>
              </w:divBdr>
            </w:div>
            <w:div w:id="17439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7849">
      <w:bodyDiv w:val="1"/>
      <w:marLeft w:val="0"/>
      <w:marRight w:val="0"/>
      <w:marTop w:val="0"/>
      <w:marBottom w:val="0"/>
      <w:divBdr>
        <w:top w:val="none" w:sz="0" w:space="0" w:color="auto"/>
        <w:left w:val="none" w:sz="0" w:space="0" w:color="auto"/>
        <w:bottom w:val="none" w:sz="0" w:space="0" w:color="auto"/>
        <w:right w:val="none" w:sz="0" w:space="0" w:color="auto"/>
      </w:divBdr>
      <w:divsChild>
        <w:div w:id="93403857">
          <w:marLeft w:val="0"/>
          <w:marRight w:val="0"/>
          <w:marTop w:val="0"/>
          <w:marBottom w:val="0"/>
          <w:divBdr>
            <w:top w:val="none" w:sz="0" w:space="0" w:color="auto"/>
            <w:left w:val="none" w:sz="0" w:space="0" w:color="auto"/>
            <w:bottom w:val="none" w:sz="0" w:space="0" w:color="auto"/>
            <w:right w:val="none" w:sz="0" w:space="0" w:color="auto"/>
          </w:divBdr>
        </w:div>
        <w:div w:id="254829693">
          <w:marLeft w:val="0"/>
          <w:marRight w:val="0"/>
          <w:marTop w:val="0"/>
          <w:marBottom w:val="0"/>
          <w:divBdr>
            <w:top w:val="none" w:sz="0" w:space="0" w:color="auto"/>
            <w:left w:val="none" w:sz="0" w:space="0" w:color="auto"/>
            <w:bottom w:val="none" w:sz="0" w:space="0" w:color="auto"/>
            <w:right w:val="none" w:sz="0" w:space="0" w:color="auto"/>
          </w:divBdr>
        </w:div>
        <w:div w:id="336732503">
          <w:marLeft w:val="0"/>
          <w:marRight w:val="0"/>
          <w:marTop w:val="0"/>
          <w:marBottom w:val="0"/>
          <w:divBdr>
            <w:top w:val="none" w:sz="0" w:space="0" w:color="auto"/>
            <w:left w:val="none" w:sz="0" w:space="0" w:color="auto"/>
            <w:bottom w:val="none" w:sz="0" w:space="0" w:color="auto"/>
            <w:right w:val="none" w:sz="0" w:space="0" w:color="auto"/>
          </w:divBdr>
        </w:div>
        <w:div w:id="356468917">
          <w:marLeft w:val="0"/>
          <w:marRight w:val="0"/>
          <w:marTop w:val="0"/>
          <w:marBottom w:val="0"/>
          <w:divBdr>
            <w:top w:val="none" w:sz="0" w:space="0" w:color="auto"/>
            <w:left w:val="none" w:sz="0" w:space="0" w:color="auto"/>
            <w:bottom w:val="none" w:sz="0" w:space="0" w:color="auto"/>
            <w:right w:val="none" w:sz="0" w:space="0" w:color="auto"/>
          </w:divBdr>
        </w:div>
        <w:div w:id="647788768">
          <w:marLeft w:val="0"/>
          <w:marRight w:val="0"/>
          <w:marTop w:val="0"/>
          <w:marBottom w:val="0"/>
          <w:divBdr>
            <w:top w:val="none" w:sz="0" w:space="0" w:color="auto"/>
            <w:left w:val="none" w:sz="0" w:space="0" w:color="auto"/>
            <w:bottom w:val="none" w:sz="0" w:space="0" w:color="auto"/>
            <w:right w:val="none" w:sz="0" w:space="0" w:color="auto"/>
          </w:divBdr>
        </w:div>
        <w:div w:id="718433240">
          <w:marLeft w:val="0"/>
          <w:marRight w:val="0"/>
          <w:marTop w:val="0"/>
          <w:marBottom w:val="0"/>
          <w:divBdr>
            <w:top w:val="none" w:sz="0" w:space="0" w:color="auto"/>
            <w:left w:val="none" w:sz="0" w:space="0" w:color="auto"/>
            <w:bottom w:val="none" w:sz="0" w:space="0" w:color="auto"/>
            <w:right w:val="none" w:sz="0" w:space="0" w:color="auto"/>
          </w:divBdr>
        </w:div>
        <w:div w:id="725225270">
          <w:marLeft w:val="0"/>
          <w:marRight w:val="0"/>
          <w:marTop w:val="0"/>
          <w:marBottom w:val="0"/>
          <w:divBdr>
            <w:top w:val="none" w:sz="0" w:space="0" w:color="auto"/>
            <w:left w:val="none" w:sz="0" w:space="0" w:color="auto"/>
            <w:bottom w:val="none" w:sz="0" w:space="0" w:color="auto"/>
            <w:right w:val="none" w:sz="0" w:space="0" w:color="auto"/>
          </w:divBdr>
        </w:div>
        <w:div w:id="1298952730">
          <w:marLeft w:val="0"/>
          <w:marRight w:val="0"/>
          <w:marTop w:val="0"/>
          <w:marBottom w:val="0"/>
          <w:divBdr>
            <w:top w:val="none" w:sz="0" w:space="0" w:color="auto"/>
            <w:left w:val="none" w:sz="0" w:space="0" w:color="auto"/>
            <w:bottom w:val="none" w:sz="0" w:space="0" w:color="auto"/>
            <w:right w:val="none" w:sz="0" w:space="0" w:color="auto"/>
          </w:divBdr>
        </w:div>
        <w:div w:id="1307515123">
          <w:marLeft w:val="0"/>
          <w:marRight w:val="0"/>
          <w:marTop w:val="0"/>
          <w:marBottom w:val="0"/>
          <w:divBdr>
            <w:top w:val="none" w:sz="0" w:space="0" w:color="auto"/>
            <w:left w:val="none" w:sz="0" w:space="0" w:color="auto"/>
            <w:bottom w:val="none" w:sz="0" w:space="0" w:color="auto"/>
            <w:right w:val="none" w:sz="0" w:space="0" w:color="auto"/>
          </w:divBdr>
        </w:div>
        <w:div w:id="1432778489">
          <w:marLeft w:val="0"/>
          <w:marRight w:val="0"/>
          <w:marTop w:val="0"/>
          <w:marBottom w:val="0"/>
          <w:divBdr>
            <w:top w:val="none" w:sz="0" w:space="0" w:color="auto"/>
            <w:left w:val="none" w:sz="0" w:space="0" w:color="auto"/>
            <w:bottom w:val="none" w:sz="0" w:space="0" w:color="auto"/>
            <w:right w:val="none" w:sz="0" w:space="0" w:color="auto"/>
          </w:divBdr>
        </w:div>
        <w:div w:id="1943682324">
          <w:marLeft w:val="0"/>
          <w:marRight w:val="0"/>
          <w:marTop w:val="0"/>
          <w:marBottom w:val="0"/>
          <w:divBdr>
            <w:top w:val="none" w:sz="0" w:space="0" w:color="auto"/>
            <w:left w:val="none" w:sz="0" w:space="0" w:color="auto"/>
            <w:bottom w:val="none" w:sz="0" w:space="0" w:color="auto"/>
            <w:right w:val="none" w:sz="0" w:space="0" w:color="auto"/>
          </w:divBdr>
        </w:div>
        <w:div w:id="2016151349">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549220431">
      <w:bodyDiv w:val="1"/>
      <w:marLeft w:val="0"/>
      <w:marRight w:val="0"/>
      <w:marTop w:val="0"/>
      <w:marBottom w:val="0"/>
      <w:divBdr>
        <w:top w:val="none" w:sz="0" w:space="0" w:color="auto"/>
        <w:left w:val="none" w:sz="0" w:space="0" w:color="auto"/>
        <w:bottom w:val="none" w:sz="0" w:space="0" w:color="auto"/>
        <w:right w:val="none" w:sz="0" w:space="0" w:color="auto"/>
      </w:divBdr>
      <w:divsChild>
        <w:div w:id="570624102">
          <w:marLeft w:val="0"/>
          <w:marRight w:val="0"/>
          <w:marTop w:val="0"/>
          <w:marBottom w:val="0"/>
          <w:divBdr>
            <w:top w:val="none" w:sz="0" w:space="0" w:color="auto"/>
            <w:left w:val="none" w:sz="0" w:space="0" w:color="auto"/>
            <w:bottom w:val="none" w:sz="0" w:space="0" w:color="auto"/>
            <w:right w:val="none" w:sz="0" w:space="0" w:color="auto"/>
          </w:divBdr>
          <w:divsChild>
            <w:div w:id="464352742">
              <w:marLeft w:val="0"/>
              <w:marRight w:val="0"/>
              <w:marTop w:val="0"/>
              <w:marBottom w:val="0"/>
              <w:divBdr>
                <w:top w:val="none" w:sz="0" w:space="0" w:color="auto"/>
                <w:left w:val="none" w:sz="0" w:space="0" w:color="auto"/>
                <w:bottom w:val="none" w:sz="0" w:space="0" w:color="auto"/>
                <w:right w:val="none" w:sz="0" w:space="0" w:color="auto"/>
              </w:divBdr>
            </w:div>
            <w:div w:id="1946881804">
              <w:marLeft w:val="0"/>
              <w:marRight w:val="0"/>
              <w:marTop w:val="0"/>
              <w:marBottom w:val="0"/>
              <w:divBdr>
                <w:top w:val="none" w:sz="0" w:space="0" w:color="auto"/>
                <w:left w:val="none" w:sz="0" w:space="0" w:color="auto"/>
                <w:bottom w:val="none" w:sz="0" w:space="0" w:color="auto"/>
                <w:right w:val="none" w:sz="0" w:space="0" w:color="auto"/>
              </w:divBdr>
            </w:div>
          </w:divsChild>
        </w:div>
        <w:div w:id="1947344133">
          <w:marLeft w:val="0"/>
          <w:marRight w:val="0"/>
          <w:marTop w:val="0"/>
          <w:marBottom w:val="0"/>
          <w:divBdr>
            <w:top w:val="none" w:sz="0" w:space="0" w:color="auto"/>
            <w:left w:val="none" w:sz="0" w:space="0" w:color="auto"/>
            <w:bottom w:val="none" w:sz="0" w:space="0" w:color="auto"/>
            <w:right w:val="none" w:sz="0" w:space="0" w:color="auto"/>
          </w:divBdr>
          <w:divsChild>
            <w:div w:id="277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responsabilite/publications-rse" TargetMode="External"/><Relationship Id="rId13" Type="http://schemas.openxmlformats.org/officeDocument/2006/relationships/hyperlink" Target="https://www.stellantis.com/fr" TargetMode="External"/><Relationship Id="rId18" Type="http://schemas.openxmlformats.org/officeDocument/2006/relationships/hyperlink" Target="http://www.stellanti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reedomofmobilityforum.org/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ellantis.com/fr/actualite/evenements-presse/ouverture-du-premier-hub-d-economie-circulaire-sustainer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tellantis.com/fr/responsabilite/strategie-carbone-net-zer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tellantis.com/fr/groupe/dare-forward-2030" TargetMode="Externa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17091-14F3-403B-BDF3-05410B3E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0</TotalTime>
  <Pages>4</Pages>
  <Words>1138</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Press Release A4</vt:lpstr>
    </vt:vector>
  </TitlesOfParts>
  <Company>Stellantis</Company>
  <LinksUpToDate>false</LinksUpToDate>
  <CharactersWithSpaces>7610</CharactersWithSpaces>
  <SharedDoc>false</SharedDoc>
  <HLinks>
    <vt:vector size="12" baseType="variant">
      <vt:variant>
        <vt:i4>3670048</vt:i4>
      </vt:variant>
      <vt:variant>
        <vt:i4>6</vt:i4>
      </vt:variant>
      <vt:variant>
        <vt:i4>0</vt:i4>
      </vt:variant>
      <vt:variant>
        <vt:i4>5</vt:i4>
      </vt:variant>
      <vt:variant>
        <vt:lpwstr>http://www.stellantis.com/</vt:lpwstr>
      </vt:variant>
      <vt:variant>
        <vt:lpwstr/>
      </vt:variant>
      <vt:variant>
        <vt:i4>6160467</vt:i4>
      </vt:variant>
      <vt:variant>
        <vt:i4>0</vt:i4>
      </vt:variant>
      <vt:variant>
        <vt:i4>0</vt:i4>
      </vt:variant>
      <vt:variant>
        <vt:i4>5</vt:i4>
      </vt:variant>
      <vt:variant>
        <vt:lpwstr>https://www.stellantis.com/fr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MARCO COSTANZO</dc:creator>
  <cp:keywords/>
  <dc:description/>
  <cp:lastModifiedBy>KAILEEN</cp:lastModifiedBy>
  <cp:revision>2</cp:revision>
  <cp:lastPrinted>2023-10-17T13:18:00Z</cp:lastPrinted>
  <dcterms:created xsi:type="dcterms:W3CDTF">2024-04-05T09:11:00Z</dcterms:created>
  <dcterms:modified xsi:type="dcterms:W3CDTF">2024-04-05T09:11:00Z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ae0d6a184b4a37c1807084f51c5ff168c960d1fc67bb17f5966febcd9655724a</vt:lpwstr>
  </property>
</Properties>
</file>