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BCAB" w14:textId="6BF1563C" w:rsidR="001532D8" w:rsidRDefault="001532D8" w:rsidP="00E81D29">
      <w:pPr>
        <w:wordWrap/>
        <w:spacing w:after="0" w:line="240" w:lineRule="auto"/>
        <w:jc w:val="center"/>
        <w:rPr>
          <w:rFonts w:ascii="Arial" w:hAnsi="Arial" w:cs="Arial"/>
          <w:b/>
          <w:sz w:val="28"/>
          <w:szCs w:val="28"/>
        </w:rPr>
      </w:pPr>
    </w:p>
    <w:p w14:paraId="248635EF" w14:textId="77777777" w:rsidR="005532E0" w:rsidRDefault="005532E0" w:rsidP="00E81D29">
      <w:pPr>
        <w:wordWrap/>
        <w:spacing w:after="0" w:line="240" w:lineRule="auto"/>
        <w:jc w:val="center"/>
        <w:rPr>
          <w:rFonts w:ascii="Arial" w:hAnsi="Arial" w:cs="Arial"/>
          <w:b/>
          <w:sz w:val="28"/>
          <w:szCs w:val="28"/>
        </w:rPr>
      </w:pPr>
    </w:p>
    <w:p w14:paraId="163B3E5D" w14:textId="1C3AF1F6" w:rsidR="00C628B0" w:rsidRDefault="008D07B0" w:rsidP="00830308">
      <w:pPr>
        <w:spacing w:after="0" w:line="240" w:lineRule="auto"/>
        <w:jc w:val="center"/>
        <w:rPr>
          <w:rFonts w:ascii="Arial" w:hAnsi="Arial" w:cs="Arial"/>
          <w:b/>
          <w:sz w:val="28"/>
          <w:szCs w:val="28"/>
        </w:rPr>
      </w:pPr>
      <w:r>
        <w:rPr>
          <w:rFonts w:ascii="Arial" w:hAnsi="Arial"/>
          <w:b/>
          <w:sz w:val="28"/>
        </w:rPr>
        <w:t xml:space="preserve">Stellantis et Samsung SDI annoncent la construction d’une deuxième </w:t>
      </w:r>
      <w:proofErr w:type="spellStart"/>
      <w:r>
        <w:rPr>
          <w:rFonts w:ascii="Arial" w:hAnsi="Arial"/>
          <w:b/>
          <w:sz w:val="28"/>
        </w:rPr>
        <w:t>gigafactory</w:t>
      </w:r>
      <w:proofErr w:type="spellEnd"/>
      <w:r>
        <w:rPr>
          <w:rFonts w:ascii="Arial" w:hAnsi="Arial"/>
          <w:b/>
          <w:sz w:val="28"/>
        </w:rPr>
        <w:t xml:space="preserve"> </w:t>
      </w:r>
      <w:proofErr w:type="spellStart"/>
      <w:r>
        <w:rPr>
          <w:rFonts w:ascii="Arial" w:hAnsi="Arial"/>
          <w:b/>
          <w:sz w:val="28"/>
        </w:rPr>
        <w:t>StarPlus</w:t>
      </w:r>
      <w:proofErr w:type="spellEnd"/>
      <w:r>
        <w:rPr>
          <w:rFonts w:ascii="Arial" w:hAnsi="Arial"/>
          <w:b/>
          <w:sz w:val="28"/>
        </w:rPr>
        <w:t xml:space="preserve"> Energy </w:t>
      </w:r>
      <w:r w:rsidR="006C692F">
        <w:rPr>
          <w:rFonts w:ascii="Arial" w:hAnsi="Arial"/>
          <w:b/>
          <w:sz w:val="28"/>
        </w:rPr>
        <w:t>aux Etats-Unis</w:t>
      </w:r>
    </w:p>
    <w:p w14:paraId="00ADA018" w14:textId="77777777" w:rsidR="008D07B0" w:rsidRDefault="008D07B0" w:rsidP="00830308">
      <w:pPr>
        <w:spacing w:after="0" w:line="240" w:lineRule="auto"/>
        <w:jc w:val="center"/>
        <w:rPr>
          <w:rFonts w:ascii="Arial" w:hAnsi="Arial" w:cs="Arial"/>
          <w:b/>
          <w:sz w:val="28"/>
          <w:szCs w:val="28"/>
        </w:rPr>
      </w:pPr>
    </w:p>
    <w:p w14:paraId="104EDB22" w14:textId="11D60498" w:rsidR="008D07B0" w:rsidRPr="008D07B0" w:rsidRDefault="008D07B0" w:rsidP="00DB1F27">
      <w:pPr>
        <w:pStyle w:val="ListParagraph"/>
        <w:widowControl/>
        <w:numPr>
          <w:ilvl w:val="0"/>
          <w:numId w:val="2"/>
        </w:numPr>
        <w:wordWrap/>
        <w:autoSpaceDE/>
        <w:autoSpaceDN/>
        <w:spacing w:after="0" w:line="240" w:lineRule="auto"/>
        <w:textAlignment w:val="baseline"/>
        <w:rPr>
          <w:rFonts w:ascii="Arial" w:eastAsia="Times New Roman" w:hAnsi="Arial" w:cs="Arial"/>
          <w:sz w:val="24"/>
          <w:szCs w:val="24"/>
        </w:rPr>
      </w:pPr>
      <w:r>
        <w:rPr>
          <w:rFonts w:ascii="Arial" w:hAnsi="Arial"/>
          <w:sz w:val="24"/>
        </w:rPr>
        <w:t xml:space="preserve">La coentreprise </w:t>
      </w:r>
      <w:proofErr w:type="spellStart"/>
      <w:r w:rsidR="006C692F">
        <w:rPr>
          <w:rFonts w:ascii="Arial" w:hAnsi="Arial"/>
          <w:sz w:val="24"/>
        </w:rPr>
        <w:t>S</w:t>
      </w:r>
      <w:r w:rsidR="00FC782F">
        <w:rPr>
          <w:rFonts w:ascii="Arial" w:hAnsi="Arial"/>
          <w:sz w:val="24"/>
        </w:rPr>
        <w:t>t</w:t>
      </w:r>
      <w:r w:rsidR="006C692F">
        <w:rPr>
          <w:rFonts w:ascii="Arial" w:hAnsi="Arial"/>
          <w:sz w:val="24"/>
        </w:rPr>
        <w:t>arPlus</w:t>
      </w:r>
      <w:proofErr w:type="spellEnd"/>
      <w:r w:rsidR="006C692F">
        <w:rPr>
          <w:rFonts w:ascii="Arial" w:hAnsi="Arial"/>
          <w:sz w:val="24"/>
        </w:rPr>
        <w:t xml:space="preserve"> Energy </w:t>
      </w:r>
      <w:r>
        <w:rPr>
          <w:rFonts w:ascii="Arial" w:hAnsi="Arial"/>
          <w:sz w:val="24"/>
        </w:rPr>
        <w:t xml:space="preserve">investira plus de 3,2 milliards de </w:t>
      </w:r>
      <w:r>
        <w:rPr>
          <w:rFonts w:ascii="Arial" w:hAnsi="Arial"/>
          <w:sz w:val="22"/>
          <w:shd w:val="clear" w:color="auto" w:fill="FFFFFF"/>
        </w:rPr>
        <w:t>dollars</w:t>
      </w:r>
      <w:r>
        <w:rPr>
          <w:rFonts w:ascii="Arial" w:hAnsi="Arial"/>
          <w:sz w:val="24"/>
        </w:rPr>
        <w:t xml:space="preserve"> pour implanter sa nouvelle usine de batteries sur le même site que </w:t>
      </w:r>
      <w:r w:rsidR="006C692F">
        <w:rPr>
          <w:rFonts w:ascii="Arial" w:hAnsi="Arial"/>
          <w:sz w:val="24"/>
        </w:rPr>
        <w:t xml:space="preserve">celle </w:t>
      </w:r>
      <w:proofErr w:type="gramStart"/>
      <w:r>
        <w:rPr>
          <w:rFonts w:ascii="Arial" w:hAnsi="Arial"/>
          <w:sz w:val="24"/>
        </w:rPr>
        <w:t>actuellement en cours</w:t>
      </w:r>
      <w:proofErr w:type="gramEnd"/>
      <w:r>
        <w:rPr>
          <w:rFonts w:ascii="Arial" w:hAnsi="Arial"/>
          <w:sz w:val="24"/>
        </w:rPr>
        <w:t xml:space="preserve"> de construction</w:t>
      </w:r>
    </w:p>
    <w:p w14:paraId="3C3962B2" w14:textId="5A7B07DE" w:rsidR="008D07B0" w:rsidRPr="008D07B0" w:rsidRDefault="008D07B0" w:rsidP="00DB1F27">
      <w:pPr>
        <w:pStyle w:val="ListParagraph"/>
        <w:widowControl/>
        <w:numPr>
          <w:ilvl w:val="0"/>
          <w:numId w:val="2"/>
        </w:numPr>
        <w:wordWrap/>
        <w:autoSpaceDE/>
        <w:autoSpaceDN/>
        <w:spacing w:after="0" w:line="240" w:lineRule="auto"/>
        <w:textAlignment w:val="baseline"/>
        <w:rPr>
          <w:rFonts w:ascii="Arial" w:eastAsia="Times New Roman" w:hAnsi="Arial" w:cs="Arial"/>
          <w:sz w:val="24"/>
          <w:szCs w:val="24"/>
        </w:rPr>
      </w:pPr>
      <w:r>
        <w:rPr>
          <w:rFonts w:ascii="Arial" w:hAnsi="Arial"/>
          <w:sz w:val="24"/>
        </w:rPr>
        <w:t xml:space="preserve">Les deux gigafactories </w:t>
      </w:r>
      <w:r w:rsidR="006C692F">
        <w:rPr>
          <w:rFonts w:ascii="Arial" w:hAnsi="Arial"/>
          <w:sz w:val="24"/>
        </w:rPr>
        <w:t xml:space="preserve">situées à </w:t>
      </w:r>
      <w:r>
        <w:rPr>
          <w:rFonts w:ascii="Arial" w:hAnsi="Arial"/>
          <w:sz w:val="24"/>
        </w:rPr>
        <w:t>Kokomo</w:t>
      </w:r>
      <w:r w:rsidR="006C692F">
        <w:rPr>
          <w:rFonts w:ascii="Arial" w:hAnsi="Arial"/>
          <w:sz w:val="24"/>
        </w:rPr>
        <w:t xml:space="preserve"> (Indiana)</w:t>
      </w:r>
      <w:r>
        <w:rPr>
          <w:rFonts w:ascii="Arial" w:hAnsi="Arial"/>
          <w:sz w:val="24"/>
        </w:rPr>
        <w:t xml:space="preserve"> auront une capacité de production annuelle combinée de 67 gigawattheures (G</w:t>
      </w:r>
      <w:r w:rsidR="006F4B4F">
        <w:rPr>
          <w:rFonts w:ascii="Arial" w:hAnsi="Arial"/>
          <w:sz w:val="24"/>
        </w:rPr>
        <w:t>W</w:t>
      </w:r>
      <w:r>
        <w:rPr>
          <w:rFonts w:ascii="Arial" w:hAnsi="Arial"/>
          <w:sz w:val="24"/>
        </w:rPr>
        <w:t>h)</w:t>
      </w:r>
    </w:p>
    <w:p w14:paraId="008C1B1D" w14:textId="0808CEE7" w:rsidR="008D07B0" w:rsidRPr="008D07B0" w:rsidRDefault="008D07B0" w:rsidP="00DB1F27">
      <w:pPr>
        <w:pStyle w:val="ListParagraph"/>
        <w:widowControl/>
        <w:numPr>
          <w:ilvl w:val="0"/>
          <w:numId w:val="2"/>
        </w:numPr>
        <w:wordWrap/>
        <w:autoSpaceDE/>
        <w:autoSpaceDN/>
        <w:spacing w:after="0" w:line="240" w:lineRule="auto"/>
        <w:textAlignment w:val="baseline"/>
        <w:rPr>
          <w:rFonts w:ascii="Arial" w:eastAsia="Times New Roman" w:hAnsi="Arial" w:cs="Arial"/>
          <w:sz w:val="24"/>
          <w:szCs w:val="24"/>
        </w:rPr>
      </w:pPr>
      <w:r>
        <w:rPr>
          <w:rFonts w:ascii="Arial" w:hAnsi="Arial"/>
          <w:sz w:val="24"/>
        </w:rPr>
        <w:t xml:space="preserve">Le lancement de la deuxième </w:t>
      </w:r>
      <w:proofErr w:type="spellStart"/>
      <w:r>
        <w:rPr>
          <w:rFonts w:ascii="Arial" w:hAnsi="Arial"/>
          <w:sz w:val="24"/>
        </w:rPr>
        <w:t>gigafactory</w:t>
      </w:r>
      <w:proofErr w:type="spellEnd"/>
      <w:r>
        <w:rPr>
          <w:rFonts w:ascii="Arial" w:hAnsi="Arial"/>
          <w:sz w:val="24"/>
        </w:rPr>
        <w:t xml:space="preserve"> </w:t>
      </w:r>
      <w:proofErr w:type="spellStart"/>
      <w:r>
        <w:rPr>
          <w:rFonts w:ascii="Arial" w:hAnsi="Arial"/>
          <w:sz w:val="24"/>
        </w:rPr>
        <w:t>StarPlus</w:t>
      </w:r>
      <w:proofErr w:type="spellEnd"/>
      <w:r>
        <w:rPr>
          <w:rFonts w:ascii="Arial" w:hAnsi="Arial"/>
          <w:sz w:val="24"/>
        </w:rPr>
        <w:t xml:space="preserve"> est prévu début 2027 </w:t>
      </w:r>
      <w:r w:rsidR="0038217D">
        <w:rPr>
          <w:rFonts w:ascii="Arial" w:hAnsi="Arial"/>
          <w:sz w:val="24"/>
        </w:rPr>
        <w:t xml:space="preserve">et permettra de créer </w:t>
      </w:r>
      <w:r>
        <w:rPr>
          <w:rFonts w:ascii="Arial" w:hAnsi="Arial"/>
          <w:sz w:val="24"/>
        </w:rPr>
        <w:t>1 400 nouveaux emplois ;</w:t>
      </w:r>
      <w:r w:rsidR="006C692F">
        <w:rPr>
          <w:rFonts w:ascii="Arial" w:hAnsi="Arial"/>
          <w:sz w:val="24"/>
        </w:rPr>
        <w:t xml:space="preserve"> </w:t>
      </w:r>
      <w:r>
        <w:rPr>
          <w:rFonts w:ascii="Arial" w:hAnsi="Arial"/>
          <w:sz w:val="24"/>
        </w:rPr>
        <w:t xml:space="preserve">la première usine devrait démarrer </w:t>
      </w:r>
      <w:r w:rsidR="006C692F">
        <w:rPr>
          <w:rFonts w:ascii="Arial" w:hAnsi="Arial"/>
          <w:sz w:val="24"/>
        </w:rPr>
        <w:t xml:space="preserve">sa production </w:t>
      </w:r>
      <w:r>
        <w:rPr>
          <w:rFonts w:ascii="Arial" w:hAnsi="Arial"/>
          <w:sz w:val="24"/>
        </w:rPr>
        <w:t>au premier trimestre 2025</w:t>
      </w:r>
    </w:p>
    <w:p w14:paraId="64A0E539" w14:textId="3CE9C8E2" w:rsidR="002B1887" w:rsidRPr="008D07B0" w:rsidRDefault="008D07B0" w:rsidP="00DB1F27">
      <w:pPr>
        <w:pStyle w:val="ListParagraph"/>
        <w:widowControl/>
        <w:numPr>
          <w:ilvl w:val="0"/>
          <w:numId w:val="2"/>
        </w:numPr>
        <w:wordWrap/>
        <w:autoSpaceDE/>
        <w:autoSpaceDN/>
        <w:spacing w:after="0" w:line="240" w:lineRule="auto"/>
        <w:textAlignment w:val="baseline"/>
        <w:rPr>
          <w:rFonts w:ascii="Arial" w:eastAsia="Times New Roman" w:hAnsi="Arial" w:cs="Arial"/>
          <w:sz w:val="24"/>
          <w:szCs w:val="24"/>
        </w:rPr>
      </w:pPr>
      <w:r>
        <w:rPr>
          <w:rFonts w:ascii="Arial" w:hAnsi="Arial"/>
          <w:sz w:val="24"/>
        </w:rPr>
        <w:t xml:space="preserve">Cette nouvelle gigafactory sera la sixième usine de batteries destinée à soutenir la stratégie d’électrification de </w:t>
      </w:r>
      <w:proofErr w:type="spellStart"/>
      <w:r>
        <w:rPr>
          <w:rFonts w:ascii="Arial" w:hAnsi="Arial"/>
          <w:sz w:val="24"/>
        </w:rPr>
        <w:t>Stellantis</w:t>
      </w:r>
      <w:proofErr w:type="spellEnd"/>
      <w:r>
        <w:rPr>
          <w:rFonts w:ascii="Arial" w:hAnsi="Arial"/>
          <w:sz w:val="24"/>
        </w:rPr>
        <w:t>, décrit</w:t>
      </w:r>
      <w:r w:rsidR="0038217D">
        <w:rPr>
          <w:rFonts w:ascii="Arial" w:hAnsi="Arial"/>
          <w:sz w:val="24"/>
        </w:rPr>
        <w:t>e</w:t>
      </w:r>
      <w:r>
        <w:rPr>
          <w:rFonts w:ascii="Arial" w:hAnsi="Arial"/>
          <w:sz w:val="24"/>
        </w:rPr>
        <w:t xml:space="preserve"> dans</w:t>
      </w:r>
      <w:r w:rsidR="0038217D">
        <w:rPr>
          <w:rFonts w:ascii="Arial" w:hAnsi="Arial"/>
          <w:sz w:val="24"/>
        </w:rPr>
        <w:t xml:space="preserve"> le plan</w:t>
      </w:r>
      <w:r>
        <w:rPr>
          <w:rFonts w:ascii="Arial" w:hAnsi="Arial"/>
          <w:sz w:val="24"/>
        </w:rPr>
        <w:t xml:space="preserve"> Dare Forward 2030</w:t>
      </w:r>
    </w:p>
    <w:p w14:paraId="50FD9821" w14:textId="77777777" w:rsidR="007C2A10" w:rsidRPr="003D686E" w:rsidRDefault="007C2A10" w:rsidP="00DB1F27">
      <w:pPr>
        <w:spacing w:after="0"/>
        <w:rPr>
          <w:rFonts w:ascii="Arial" w:hAnsi="Arial" w:cs="Arial"/>
          <w:b/>
          <w:sz w:val="22"/>
        </w:rPr>
      </w:pPr>
    </w:p>
    <w:p w14:paraId="1A672F79" w14:textId="6FCC5BE4" w:rsidR="008D07B0" w:rsidRPr="008D07B0" w:rsidRDefault="00831236" w:rsidP="00E54BB4">
      <w:pPr>
        <w:wordWrap/>
        <w:spacing w:after="0" w:line="240" w:lineRule="auto"/>
        <w:rPr>
          <w:rFonts w:ascii="Arial" w:eastAsia="Times New Roman" w:hAnsi="Arial" w:cs="Arial"/>
          <w:sz w:val="22"/>
          <w:shd w:val="clear" w:color="auto" w:fill="FFFFFF"/>
        </w:rPr>
      </w:pPr>
      <w:r>
        <w:rPr>
          <w:rFonts w:ascii="Arial" w:hAnsi="Arial"/>
          <w:b/>
          <w:sz w:val="22"/>
        </w:rPr>
        <w:t xml:space="preserve">AMSTERDAM, le 11 octobre 2023 – </w:t>
      </w:r>
      <w:hyperlink r:id="rId10" w:history="1">
        <w:r>
          <w:rPr>
            <w:rStyle w:val="Hyperlink"/>
            <w:rFonts w:ascii="Arial" w:hAnsi="Arial"/>
            <w:sz w:val="22"/>
          </w:rPr>
          <w:t>Stellantis N.V.</w:t>
        </w:r>
      </w:hyperlink>
      <w:r>
        <w:rPr>
          <w:rFonts w:ascii="Arial" w:hAnsi="Arial"/>
          <w:sz w:val="22"/>
          <w:shd w:val="clear" w:color="auto" w:fill="FFFFFF"/>
        </w:rPr>
        <w:t xml:space="preserve"> et </w:t>
      </w:r>
      <w:r>
        <w:rPr>
          <w:rFonts w:ascii="Arial" w:hAnsi="Arial"/>
          <w:sz w:val="22"/>
        </w:rPr>
        <w:t>Samsung SDI</w:t>
      </w:r>
      <w:r>
        <w:rPr>
          <w:rFonts w:ascii="Arial" w:hAnsi="Arial"/>
          <w:sz w:val="22"/>
          <w:shd w:val="clear" w:color="auto" w:fill="FFFFFF"/>
        </w:rPr>
        <w:t xml:space="preserve"> annoncent aujourd’hui </w:t>
      </w:r>
      <w:r w:rsidR="0038217D">
        <w:rPr>
          <w:rFonts w:ascii="Arial" w:hAnsi="Arial"/>
          <w:sz w:val="22"/>
          <w:shd w:val="clear" w:color="auto" w:fill="FFFFFF"/>
        </w:rPr>
        <w:t>que</w:t>
      </w:r>
      <w:r>
        <w:rPr>
          <w:rFonts w:ascii="Arial" w:hAnsi="Arial"/>
          <w:sz w:val="22"/>
          <w:shd w:val="clear" w:color="auto" w:fill="FFFFFF"/>
        </w:rPr>
        <w:t xml:space="preserve"> Kokomo, dans l’Indiana, </w:t>
      </w:r>
      <w:r w:rsidR="0038217D">
        <w:rPr>
          <w:rFonts w:ascii="Arial" w:hAnsi="Arial"/>
          <w:sz w:val="22"/>
          <w:shd w:val="clear" w:color="auto" w:fill="FFFFFF"/>
        </w:rPr>
        <w:t xml:space="preserve">accueillera une </w:t>
      </w:r>
      <w:r>
        <w:rPr>
          <w:rFonts w:ascii="Arial" w:hAnsi="Arial"/>
          <w:sz w:val="22"/>
          <w:shd w:val="clear" w:color="auto" w:fill="FFFFFF"/>
        </w:rPr>
        <w:t xml:space="preserve">deuxième usine de production de batteries aux États-Unis </w:t>
      </w:r>
      <w:r w:rsidR="0038217D">
        <w:rPr>
          <w:rFonts w:ascii="Arial" w:hAnsi="Arial"/>
          <w:sz w:val="22"/>
          <w:shd w:val="clear" w:color="auto" w:fill="FFFFFF"/>
        </w:rPr>
        <w:t xml:space="preserve">dans le cadre </w:t>
      </w:r>
      <w:r>
        <w:rPr>
          <w:rFonts w:ascii="Arial" w:hAnsi="Arial"/>
          <w:sz w:val="22"/>
          <w:shd w:val="clear" w:color="auto" w:fill="FFFFFF"/>
        </w:rPr>
        <w:t xml:space="preserve">de la </w:t>
      </w:r>
      <w:r w:rsidR="0038217D">
        <w:rPr>
          <w:rFonts w:ascii="Arial" w:hAnsi="Arial"/>
          <w:sz w:val="22"/>
          <w:shd w:val="clear" w:color="auto" w:fill="FFFFFF"/>
        </w:rPr>
        <w:t>coentreprise</w:t>
      </w:r>
      <w:r>
        <w:rPr>
          <w:rFonts w:ascii="Arial" w:hAnsi="Arial"/>
          <w:sz w:val="22"/>
          <w:shd w:val="clear" w:color="auto" w:fill="FFFFFF"/>
        </w:rPr>
        <w:t xml:space="preserve"> </w:t>
      </w:r>
      <w:proofErr w:type="spellStart"/>
      <w:r>
        <w:rPr>
          <w:rFonts w:ascii="Arial" w:hAnsi="Arial"/>
          <w:sz w:val="22"/>
          <w:shd w:val="clear" w:color="auto" w:fill="FFFFFF"/>
        </w:rPr>
        <w:t>StarPlus</w:t>
      </w:r>
      <w:proofErr w:type="spellEnd"/>
      <w:r>
        <w:rPr>
          <w:rFonts w:ascii="Arial" w:hAnsi="Arial"/>
          <w:sz w:val="22"/>
          <w:shd w:val="clear" w:color="auto" w:fill="FFFFFF"/>
        </w:rPr>
        <w:t xml:space="preserve"> Energy. </w:t>
      </w:r>
      <w:r w:rsidR="006C692F">
        <w:rPr>
          <w:rFonts w:ascii="Arial" w:hAnsi="Arial"/>
          <w:sz w:val="22"/>
          <w:shd w:val="clear" w:color="auto" w:fill="FFFFFF"/>
        </w:rPr>
        <w:t>Cette nouvelle usine</w:t>
      </w:r>
      <w:r>
        <w:rPr>
          <w:rFonts w:ascii="Arial" w:hAnsi="Arial"/>
          <w:sz w:val="22"/>
          <w:shd w:val="clear" w:color="auto" w:fill="FFFFFF"/>
        </w:rPr>
        <w:t>, dont le démarrage est prévu début 2027, aura une capacité de production annuelle de 34 gigawattheures (G</w:t>
      </w:r>
      <w:r w:rsidR="006F4B4F">
        <w:rPr>
          <w:rFonts w:ascii="Arial" w:hAnsi="Arial"/>
          <w:sz w:val="22"/>
          <w:shd w:val="clear" w:color="auto" w:fill="FFFFFF"/>
        </w:rPr>
        <w:t>W</w:t>
      </w:r>
      <w:r>
        <w:rPr>
          <w:rFonts w:ascii="Arial" w:hAnsi="Arial"/>
          <w:sz w:val="22"/>
          <w:shd w:val="clear" w:color="auto" w:fill="FFFFFF"/>
        </w:rPr>
        <w:t xml:space="preserve">h). La coentreprise prévoit d’investir plus de 3,2 milliards de dollars (2,8 milliards d’euros) et de créer 1 400 nouveaux emplois à Kokomo et dans ses environs. L’investissement total prévu pour les deux usines </w:t>
      </w:r>
      <w:r w:rsidR="00682CB5">
        <w:rPr>
          <w:rFonts w:ascii="Arial" w:hAnsi="Arial"/>
          <w:sz w:val="22"/>
          <w:shd w:val="clear" w:color="auto" w:fill="FFFFFF"/>
        </w:rPr>
        <w:t xml:space="preserve">s’élèvera à plus </w:t>
      </w:r>
      <w:r>
        <w:rPr>
          <w:rFonts w:ascii="Arial" w:hAnsi="Arial"/>
          <w:sz w:val="22"/>
          <w:shd w:val="clear" w:color="auto" w:fill="FFFFFF"/>
        </w:rPr>
        <w:t xml:space="preserve">de 6,3 milliards de dollars (5,5 milliards d’euros) </w:t>
      </w:r>
      <w:r w:rsidR="00682CB5">
        <w:rPr>
          <w:rFonts w:ascii="Arial" w:hAnsi="Arial"/>
          <w:sz w:val="22"/>
          <w:shd w:val="clear" w:color="auto" w:fill="FFFFFF"/>
        </w:rPr>
        <w:t xml:space="preserve">et permettra </w:t>
      </w:r>
      <w:r>
        <w:rPr>
          <w:rFonts w:ascii="Arial" w:hAnsi="Arial"/>
          <w:sz w:val="22"/>
          <w:shd w:val="clear" w:color="auto" w:fill="FFFFFF"/>
        </w:rPr>
        <w:t>la création de 2 800 nouveaux emplois</w:t>
      </w:r>
      <w:r w:rsidR="00682CB5">
        <w:rPr>
          <w:rFonts w:ascii="Arial" w:hAnsi="Arial"/>
          <w:sz w:val="22"/>
          <w:shd w:val="clear" w:color="auto" w:fill="FFFFFF"/>
        </w:rPr>
        <w:t xml:space="preserve"> au total.</w:t>
      </w:r>
    </w:p>
    <w:p w14:paraId="3549F135" w14:textId="0C674798" w:rsidR="00A553B6" w:rsidRDefault="00A553B6" w:rsidP="00E54BB4">
      <w:pPr>
        <w:wordWrap/>
        <w:spacing w:after="0" w:line="240" w:lineRule="auto"/>
        <w:rPr>
          <w:rFonts w:ascii="Arial" w:eastAsia="Times New Roman" w:hAnsi="Arial" w:cs="Arial"/>
          <w:sz w:val="22"/>
          <w:shd w:val="clear" w:color="auto" w:fill="FFFFFF"/>
        </w:rPr>
      </w:pPr>
    </w:p>
    <w:p w14:paraId="0394E8E3" w14:textId="07157801" w:rsidR="008D07B0" w:rsidRDefault="008D07B0" w:rsidP="00E54BB4">
      <w:pPr>
        <w:wordWrap/>
        <w:spacing w:after="0" w:line="240" w:lineRule="auto"/>
        <w:rPr>
          <w:rFonts w:ascii="Arial" w:hAnsi="Arial"/>
          <w:sz w:val="22"/>
          <w:shd w:val="clear" w:color="auto" w:fill="FFFFFF"/>
        </w:rPr>
      </w:pPr>
      <w:r>
        <w:rPr>
          <w:rFonts w:ascii="Arial" w:hAnsi="Arial"/>
          <w:sz w:val="22"/>
          <w:shd w:val="clear" w:color="auto" w:fill="FFFFFF"/>
        </w:rPr>
        <w:t xml:space="preserve">Il s’agira de la deuxième </w:t>
      </w:r>
      <w:proofErr w:type="spellStart"/>
      <w:r>
        <w:rPr>
          <w:rFonts w:ascii="Arial" w:hAnsi="Arial"/>
          <w:sz w:val="22"/>
          <w:shd w:val="clear" w:color="auto" w:fill="FFFFFF"/>
        </w:rPr>
        <w:t>gigafactory</w:t>
      </w:r>
      <w:proofErr w:type="spellEnd"/>
      <w:r>
        <w:rPr>
          <w:rFonts w:ascii="Arial" w:hAnsi="Arial"/>
          <w:sz w:val="22"/>
          <w:shd w:val="clear" w:color="auto" w:fill="FFFFFF"/>
        </w:rPr>
        <w:t xml:space="preserve"> </w:t>
      </w:r>
      <w:proofErr w:type="spellStart"/>
      <w:r>
        <w:rPr>
          <w:rFonts w:ascii="Arial" w:hAnsi="Arial"/>
          <w:sz w:val="22"/>
          <w:shd w:val="clear" w:color="auto" w:fill="FFFFFF"/>
        </w:rPr>
        <w:t>StarPlus</w:t>
      </w:r>
      <w:proofErr w:type="spellEnd"/>
      <w:r>
        <w:rPr>
          <w:rFonts w:ascii="Arial" w:hAnsi="Arial"/>
          <w:sz w:val="22"/>
          <w:shd w:val="clear" w:color="auto" w:fill="FFFFFF"/>
        </w:rPr>
        <w:t xml:space="preserve"> Energy implantée à Kokomo. La construction de la </w:t>
      </w:r>
      <w:hyperlink r:id="rId11" w:history="1">
        <w:r w:rsidR="00D62D05" w:rsidRPr="00D62D05">
          <w:rPr>
            <w:rStyle w:val="Hyperlink"/>
            <w:rFonts w:ascii="Arial" w:hAnsi="Arial"/>
            <w:sz w:val="22"/>
            <w:shd w:val="clear" w:color="auto" w:fill="FFFFFF"/>
          </w:rPr>
          <w:t xml:space="preserve">première </w:t>
        </w:r>
        <w:proofErr w:type="spellStart"/>
        <w:r w:rsidR="00D62D05" w:rsidRPr="00D62D05">
          <w:rPr>
            <w:rStyle w:val="Hyperlink"/>
            <w:rFonts w:ascii="Arial" w:hAnsi="Arial"/>
            <w:sz w:val="22"/>
            <w:shd w:val="clear" w:color="auto" w:fill="FFFFFF"/>
          </w:rPr>
          <w:t>gigafactory</w:t>
        </w:r>
        <w:proofErr w:type="spellEnd"/>
        <w:r w:rsidR="00D62D05" w:rsidRPr="00D62D05">
          <w:rPr>
            <w:rStyle w:val="Hyperlink"/>
            <w:rFonts w:ascii="Arial" w:hAnsi="Arial"/>
            <w:sz w:val="22"/>
            <w:shd w:val="clear" w:color="auto" w:fill="FFFFFF"/>
          </w:rPr>
          <w:t xml:space="preserve"> </w:t>
        </w:r>
        <w:proofErr w:type="spellStart"/>
        <w:r w:rsidR="00D62D05" w:rsidRPr="00D62D05">
          <w:rPr>
            <w:rStyle w:val="Hyperlink"/>
            <w:rFonts w:ascii="Arial" w:hAnsi="Arial"/>
            <w:sz w:val="22"/>
            <w:shd w:val="clear" w:color="auto" w:fill="FFFFFF"/>
          </w:rPr>
          <w:t>StarPlus</w:t>
        </w:r>
        <w:proofErr w:type="spellEnd"/>
        <w:r w:rsidR="00D62D05" w:rsidRPr="00D62D05">
          <w:rPr>
            <w:rStyle w:val="Hyperlink"/>
            <w:rFonts w:ascii="Arial" w:hAnsi="Arial"/>
            <w:sz w:val="22"/>
            <w:shd w:val="clear" w:color="auto" w:fill="FFFFFF"/>
          </w:rPr>
          <w:t xml:space="preserve"> Energy</w:t>
        </w:r>
      </w:hyperlink>
      <w:r w:rsidR="00D62D05" w:rsidRPr="00DB1F27">
        <w:t xml:space="preserve"> </w:t>
      </w:r>
      <w:r w:rsidR="00D62D05" w:rsidRPr="007515D1">
        <w:rPr>
          <w:rFonts w:ascii="Arial" w:hAnsi="Arial"/>
          <w:sz w:val="22"/>
          <w:shd w:val="clear" w:color="auto" w:fill="FFFFFF"/>
        </w:rPr>
        <w:t>a</w:t>
      </w:r>
      <w:r>
        <w:rPr>
          <w:rFonts w:ascii="Arial" w:hAnsi="Arial"/>
          <w:sz w:val="22"/>
          <w:shd w:val="clear" w:color="auto" w:fill="FFFFFF"/>
        </w:rPr>
        <w:t xml:space="preserve"> déjà débuté, avec un démarrage prévu début 2025</w:t>
      </w:r>
      <w:r w:rsidR="00682CB5">
        <w:rPr>
          <w:rFonts w:ascii="Arial" w:hAnsi="Arial"/>
          <w:sz w:val="22"/>
          <w:shd w:val="clear" w:color="auto" w:fill="FFFFFF"/>
        </w:rPr>
        <w:t xml:space="preserve">, </w:t>
      </w:r>
      <w:r w:rsidR="00B94441">
        <w:rPr>
          <w:rFonts w:ascii="Arial" w:hAnsi="Arial"/>
          <w:sz w:val="22"/>
          <w:shd w:val="clear" w:color="auto" w:fill="FFFFFF"/>
        </w:rPr>
        <w:t xml:space="preserve">et </w:t>
      </w:r>
      <w:r w:rsidR="00682CB5">
        <w:rPr>
          <w:rFonts w:ascii="Arial" w:hAnsi="Arial"/>
          <w:sz w:val="22"/>
          <w:shd w:val="clear" w:color="auto" w:fill="FFFFFF"/>
        </w:rPr>
        <w:t xml:space="preserve">une capacité de </w:t>
      </w:r>
      <w:r>
        <w:rPr>
          <w:rFonts w:ascii="Arial" w:hAnsi="Arial"/>
          <w:sz w:val="22"/>
          <w:shd w:val="clear" w:color="auto" w:fill="FFFFFF"/>
        </w:rPr>
        <w:t>production annuelle de 33 GWh.</w:t>
      </w:r>
    </w:p>
    <w:p w14:paraId="780E3FF6" w14:textId="24FCA161" w:rsidR="00682CB5" w:rsidRDefault="00682CB5" w:rsidP="00E54BB4">
      <w:pPr>
        <w:wordWrap/>
        <w:spacing w:after="0" w:line="240" w:lineRule="auto"/>
        <w:rPr>
          <w:rFonts w:ascii="Arial" w:hAnsi="Arial"/>
          <w:sz w:val="22"/>
          <w:shd w:val="clear" w:color="auto" w:fill="FFFFFF"/>
        </w:rPr>
      </w:pPr>
    </w:p>
    <w:p w14:paraId="02B6FB39" w14:textId="4CD8F6B9" w:rsidR="008D07B0" w:rsidRPr="00DB1F27" w:rsidRDefault="008D07B0" w:rsidP="00E54BB4">
      <w:pPr>
        <w:wordWrap/>
        <w:spacing w:after="0" w:line="240" w:lineRule="auto"/>
        <w:rPr>
          <w:rFonts w:ascii="Arial" w:eastAsia="Times New Roman" w:hAnsi="Arial" w:cs="Arial"/>
          <w:sz w:val="22"/>
          <w:shd w:val="clear" w:color="auto" w:fill="FFFFFF"/>
        </w:rPr>
      </w:pPr>
      <w:bookmarkStart w:id="0" w:name="_Hlk147759224"/>
      <w:r w:rsidRPr="00DB1F27">
        <w:rPr>
          <w:rFonts w:ascii="Arial" w:eastAsia="Times New Roman" w:hAnsi="Arial" w:cs="Arial"/>
          <w:sz w:val="22"/>
          <w:shd w:val="clear" w:color="auto" w:fill="FFFFFF"/>
        </w:rPr>
        <w:t xml:space="preserve">« Notre écosystème de batteries </w:t>
      </w:r>
      <w:r w:rsidR="006C692F" w:rsidRPr="00DB1F27">
        <w:rPr>
          <w:rFonts w:ascii="Arial" w:eastAsia="Times New Roman" w:hAnsi="Arial" w:cs="Arial"/>
          <w:sz w:val="22"/>
          <w:shd w:val="clear" w:color="auto" w:fill="FFFFFF"/>
        </w:rPr>
        <w:t>est un des piliers</w:t>
      </w:r>
      <w:r w:rsidRPr="00DB1F27">
        <w:rPr>
          <w:rFonts w:ascii="Arial" w:eastAsia="Times New Roman" w:hAnsi="Arial" w:cs="Arial"/>
          <w:sz w:val="22"/>
          <w:shd w:val="clear" w:color="auto" w:fill="FFFFFF"/>
        </w:rPr>
        <w:t xml:space="preserve"> de notre stratégie d’électrification</w:t>
      </w:r>
      <w:r w:rsidR="006C692F" w:rsidRPr="00DB1F27">
        <w:rPr>
          <w:rFonts w:ascii="Arial" w:eastAsia="Times New Roman" w:hAnsi="Arial" w:cs="Arial"/>
          <w:sz w:val="22"/>
          <w:shd w:val="clear" w:color="auto" w:fill="FFFFFF"/>
        </w:rPr>
        <w:t>. N</w:t>
      </w:r>
      <w:r w:rsidRPr="00DB1F27">
        <w:rPr>
          <w:rFonts w:ascii="Arial" w:eastAsia="Times New Roman" w:hAnsi="Arial" w:cs="Arial"/>
          <w:sz w:val="22"/>
          <w:shd w:val="clear" w:color="auto" w:fill="FFFFFF"/>
        </w:rPr>
        <w:t xml:space="preserve">os partenaires, Samsung SDI, l’État de l’Indiana et la ville de Kokomo, ont présenté des arguments solides </w:t>
      </w:r>
      <w:r w:rsidR="00682CB5" w:rsidRPr="00DB1F27">
        <w:rPr>
          <w:rFonts w:ascii="Arial" w:eastAsia="Times New Roman" w:hAnsi="Arial" w:cs="Arial"/>
          <w:sz w:val="22"/>
          <w:shd w:val="clear" w:color="auto" w:fill="FFFFFF"/>
        </w:rPr>
        <w:t>pour l’</w:t>
      </w:r>
      <w:r w:rsidRPr="00DB1F27">
        <w:rPr>
          <w:rFonts w:ascii="Arial" w:eastAsia="Times New Roman" w:hAnsi="Arial" w:cs="Arial"/>
          <w:sz w:val="22"/>
          <w:shd w:val="clear" w:color="auto" w:fill="FFFFFF"/>
        </w:rPr>
        <w:t xml:space="preserve">implantation de notre sixième gigafactory à Kokomo », a déclaré Mark Stewart, COO de Stellantis North America. « Les véhicules électriques de nos marques nord-américaines jouent un rôle essentiel dans notre volonté d’offrir des solutions de mobilité sûres, propres et abordables pour tous et </w:t>
      </w:r>
      <w:r w:rsidR="00C22B96" w:rsidRPr="00DB1F27">
        <w:rPr>
          <w:rFonts w:ascii="Arial" w:eastAsia="Times New Roman" w:hAnsi="Arial" w:cs="Arial"/>
          <w:sz w:val="22"/>
          <w:shd w:val="clear" w:color="auto" w:fill="FFFFFF"/>
        </w:rPr>
        <w:t xml:space="preserve">pour </w:t>
      </w:r>
      <w:r w:rsidRPr="00DB1F27">
        <w:rPr>
          <w:rFonts w:ascii="Arial" w:eastAsia="Times New Roman" w:hAnsi="Arial" w:cs="Arial"/>
          <w:sz w:val="22"/>
          <w:shd w:val="clear" w:color="auto" w:fill="FFFFFF"/>
        </w:rPr>
        <w:t xml:space="preserve">atteindre </w:t>
      </w:r>
      <w:r w:rsidR="00C22B96" w:rsidRPr="00DB1F27">
        <w:rPr>
          <w:rFonts w:ascii="Arial" w:eastAsia="Times New Roman" w:hAnsi="Arial" w:cs="Arial"/>
          <w:sz w:val="22"/>
          <w:shd w:val="clear" w:color="auto" w:fill="FFFFFF"/>
        </w:rPr>
        <w:t xml:space="preserve">notre objectif de </w:t>
      </w:r>
      <w:r w:rsidRPr="00DB1F27">
        <w:rPr>
          <w:rFonts w:ascii="Arial" w:eastAsia="Times New Roman" w:hAnsi="Arial" w:cs="Arial"/>
          <w:sz w:val="22"/>
          <w:shd w:val="clear" w:color="auto" w:fill="FFFFFF"/>
        </w:rPr>
        <w:t>neutralité carbone d’ici 2038. »</w:t>
      </w:r>
    </w:p>
    <w:bookmarkEnd w:id="0"/>
    <w:p w14:paraId="4AE57FB1" w14:textId="77777777" w:rsidR="008D07B0" w:rsidRPr="00121F0A" w:rsidRDefault="008D07B0" w:rsidP="00E54BB4">
      <w:pPr>
        <w:wordWrap/>
        <w:spacing w:after="0" w:line="240" w:lineRule="auto"/>
        <w:rPr>
          <w:rFonts w:ascii="Arial" w:eastAsia="Times New Roman" w:hAnsi="Arial" w:cs="Arial"/>
          <w:sz w:val="22"/>
          <w:shd w:val="clear" w:color="auto" w:fill="FFFFFF"/>
        </w:rPr>
      </w:pPr>
    </w:p>
    <w:p w14:paraId="1F3D8F8F" w14:textId="1541A62C" w:rsidR="00682CB5" w:rsidRPr="00121F0A" w:rsidRDefault="00B37C7F" w:rsidP="00E54BB4">
      <w:pPr>
        <w:wordWrap/>
        <w:spacing w:after="0" w:line="240" w:lineRule="auto"/>
        <w:rPr>
          <w:rFonts w:ascii="Arial" w:eastAsia="Times New Roman" w:hAnsi="Arial" w:cs="Arial"/>
          <w:sz w:val="22"/>
          <w:shd w:val="clear" w:color="auto" w:fill="FFFFFF"/>
        </w:rPr>
      </w:pPr>
      <w:r w:rsidRPr="00DB1F27">
        <w:rPr>
          <w:rFonts w:ascii="Arial" w:eastAsia="Times New Roman" w:hAnsi="Arial" w:cs="Arial"/>
          <w:sz w:val="22"/>
          <w:shd w:val="clear" w:color="auto" w:fill="FFFFFF"/>
        </w:rPr>
        <w:t xml:space="preserve">« Avec la construction de la deuxième usine de batteries </w:t>
      </w:r>
      <w:proofErr w:type="spellStart"/>
      <w:r w:rsidRPr="00DB1F27">
        <w:rPr>
          <w:rFonts w:ascii="Arial" w:eastAsia="Times New Roman" w:hAnsi="Arial" w:cs="Arial"/>
          <w:sz w:val="22"/>
          <w:shd w:val="clear" w:color="auto" w:fill="FFFFFF"/>
        </w:rPr>
        <w:t>StarPlus</w:t>
      </w:r>
      <w:proofErr w:type="spellEnd"/>
      <w:r w:rsidRPr="00DB1F27">
        <w:rPr>
          <w:rFonts w:ascii="Arial" w:eastAsia="Times New Roman" w:hAnsi="Arial" w:cs="Arial"/>
          <w:sz w:val="22"/>
          <w:shd w:val="clear" w:color="auto" w:fill="FFFFFF"/>
        </w:rPr>
        <w:t xml:space="preserve"> Energy, Samsung SDI établit son plus important site de production de batteries pour véhicules électriques d’Amérique du Nord. » annonce Yoon-ho Choi, Président et CEO de Samsung SDI. «</w:t>
      </w:r>
      <w:r w:rsidR="006F4B4F">
        <w:rPr>
          <w:rFonts w:ascii="Arial" w:eastAsia="Times New Roman" w:hAnsi="Arial" w:cs="Arial"/>
          <w:sz w:val="22"/>
          <w:shd w:val="clear" w:color="auto" w:fill="FFFFFF"/>
        </w:rPr>
        <w:t xml:space="preserve"> </w:t>
      </w:r>
      <w:r w:rsidR="00C22B96" w:rsidRPr="00121F0A">
        <w:rPr>
          <w:rFonts w:ascii="Arial" w:eastAsia="Times New Roman" w:hAnsi="Arial" w:cs="Arial"/>
          <w:sz w:val="22"/>
          <w:shd w:val="clear" w:color="auto" w:fill="FFFFFF"/>
        </w:rPr>
        <w:t>L</w:t>
      </w:r>
      <w:r w:rsidR="00682CB5" w:rsidRPr="00121F0A">
        <w:rPr>
          <w:rFonts w:ascii="Arial" w:eastAsia="Times New Roman" w:hAnsi="Arial" w:cs="Arial"/>
          <w:sz w:val="22"/>
          <w:shd w:val="clear" w:color="auto" w:fill="FFFFFF"/>
        </w:rPr>
        <w:t xml:space="preserve">es véhicules </w:t>
      </w:r>
      <w:r w:rsidR="00C22B96" w:rsidRPr="00121F0A">
        <w:rPr>
          <w:rFonts w:ascii="Arial" w:eastAsia="Times New Roman" w:hAnsi="Arial" w:cs="Arial"/>
          <w:sz w:val="22"/>
          <w:shd w:val="clear" w:color="auto" w:fill="FFFFFF"/>
        </w:rPr>
        <w:t>des marques</w:t>
      </w:r>
      <w:r w:rsidR="00682CB5" w:rsidRPr="00121F0A">
        <w:rPr>
          <w:rFonts w:ascii="Arial" w:eastAsia="Times New Roman" w:hAnsi="Arial" w:cs="Arial"/>
          <w:sz w:val="22"/>
          <w:shd w:val="clear" w:color="auto" w:fill="FFFFFF"/>
        </w:rPr>
        <w:t xml:space="preserve"> Stellantis alimentés par des batteries Samsung SDI dotées de technologie</w:t>
      </w:r>
      <w:r w:rsidR="00D62D05" w:rsidRPr="00121F0A">
        <w:rPr>
          <w:rFonts w:ascii="Arial" w:eastAsia="Times New Roman" w:hAnsi="Arial" w:cs="Arial"/>
          <w:sz w:val="22"/>
          <w:shd w:val="clear" w:color="auto" w:fill="FFFFFF"/>
        </w:rPr>
        <w:t>s</w:t>
      </w:r>
      <w:r w:rsidR="00682CB5" w:rsidRPr="00121F0A">
        <w:rPr>
          <w:rFonts w:ascii="Arial" w:eastAsia="Times New Roman" w:hAnsi="Arial" w:cs="Arial"/>
          <w:sz w:val="22"/>
          <w:shd w:val="clear" w:color="auto" w:fill="FFFFFF"/>
        </w:rPr>
        <w:t xml:space="preserve"> </w:t>
      </w:r>
      <w:r w:rsidR="00C22B96" w:rsidRPr="00121F0A">
        <w:rPr>
          <w:rFonts w:ascii="Arial" w:eastAsia="Times New Roman" w:hAnsi="Arial" w:cs="Arial"/>
          <w:sz w:val="22"/>
          <w:shd w:val="clear" w:color="auto" w:fill="FFFFFF"/>
        </w:rPr>
        <w:t>de pointe</w:t>
      </w:r>
      <w:r w:rsidR="00682CB5" w:rsidRPr="00121F0A">
        <w:rPr>
          <w:rFonts w:ascii="Arial" w:eastAsia="Times New Roman" w:hAnsi="Arial" w:cs="Arial"/>
          <w:sz w:val="22"/>
          <w:shd w:val="clear" w:color="auto" w:fill="FFFFFF"/>
        </w:rPr>
        <w:t xml:space="preserve"> contribue</w:t>
      </w:r>
      <w:r w:rsidR="00C22B96" w:rsidRPr="00121F0A">
        <w:rPr>
          <w:rFonts w:ascii="Arial" w:eastAsia="Times New Roman" w:hAnsi="Arial" w:cs="Arial"/>
          <w:sz w:val="22"/>
          <w:shd w:val="clear" w:color="auto" w:fill="FFFFFF"/>
        </w:rPr>
        <w:t xml:space="preserve">ront </w:t>
      </w:r>
      <w:r w:rsidR="00682CB5" w:rsidRPr="00121F0A">
        <w:rPr>
          <w:rFonts w:ascii="Arial" w:eastAsia="Times New Roman" w:hAnsi="Arial" w:cs="Arial"/>
          <w:sz w:val="22"/>
          <w:shd w:val="clear" w:color="auto" w:fill="FFFFFF"/>
        </w:rPr>
        <w:t xml:space="preserve">à </w:t>
      </w:r>
      <w:r w:rsidR="00C22B96" w:rsidRPr="00121F0A">
        <w:rPr>
          <w:rFonts w:ascii="Arial" w:eastAsia="Times New Roman" w:hAnsi="Arial" w:cs="Arial"/>
          <w:sz w:val="22"/>
          <w:shd w:val="clear" w:color="auto" w:fill="FFFFFF"/>
        </w:rPr>
        <w:t>faire accélérer les Etats-Unis dans leur t</w:t>
      </w:r>
      <w:r w:rsidR="00682CB5" w:rsidRPr="00121F0A">
        <w:rPr>
          <w:rFonts w:ascii="Arial" w:eastAsia="Times New Roman" w:hAnsi="Arial" w:cs="Arial"/>
          <w:sz w:val="22"/>
          <w:shd w:val="clear" w:color="auto" w:fill="FFFFFF"/>
        </w:rPr>
        <w:t>ransition vers l</w:t>
      </w:r>
      <w:r w:rsidR="00FC782F">
        <w:rPr>
          <w:rFonts w:ascii="Arial" w:eastAsia="Times New Roman" w:hAnsi="Arial" w:cs="Arial"/>
          <w:sz w:val="22"/>
          <w:shd w:val="clear" w:color="auto" w:fill="FFFFFF"/>
        </w:rPr>
        <w:t>’</w:t>
      </w:r>
      <w:r w:rsidR="00682CB5" w:rsidRPr="00121F0A">
        <w:rPr>
          <w:rFonts w:ascii="Arial" w:eastAsia="Times New Roman" w:hAnsi="Arial" w:cs="Arial"/>
          <w:sz w:val="22"/>
          <w:shd w:val="clear" w:color="auto" w:fill="FFFFFF"/>
        </w:rPr>
        <w:t>ère des véhicules électriques</w:t>
      </w:r>
      <w:r w:rsidR="006F4B4F">
        <w:rPr>
          <w:rFonts w:ascii="Arial" w:eastAsia="Times New Roman" w:hAnsi="Arial" w:cs="Arial"/>
          <w:sz w:val="22"/>
          <w:shd w:val="clear" w:color="auto" w:fill="FFFFFF"/>
        </w:rPr>
        <w:t>.</w:t>
      </w:r>
      <w:r w:rsidR="008A52B6" w:rsidRPr="00121F0A">
        <w:rPr>
          <w:rFonts w:ascii="Arial" w:eastAsia="Times New Roman" w:hAnsi="Arial" w:cs="Arial"/>
          <w:sz w:val="22"/>
          <w:shd w:val="clear" w:color="auto" w:fill="FFFFFF"/>
        </w:rPr>
        <w:t> »</w:t>
      </w:r>
    </w:p>
    <w:p w14:paraId="3F51A510" w14:textId="77777777" w:rsidR="007515D1" w:rsidRDefault="007515D1" w:rsidP="007515D1">
      <w:pPr>
        <w:widowControl/>
        <w:wordWrap/>
        <w:autoSpaceDE/>
        <w:autoSpaceDN/>
        <w:spacing w:after="0" w:line="240" w:lineRule="auto"/>
        <w:rPr>
          <w:rFonts w:ascii="Arial" w:eastAsia="Times New Roman" w:hAnsi="Arial" w:cs="Arial"/>
          <w:sz w:val="22"/>
          <w:shd w:val="clear" w:color="auto" w:fill="FFFFFF"/>
        </w:rPr>
      </w:pPr>
    </w:p>
    <w:p w14:paraId="18F35EFD" w14:textId="7A9849BC" w:rsidR="008D07B0" w:rsidRPr="00D62D05" w:rsidRDefault="00D62D05" w:rsidP="007515D1">
      <w:pPr>
        <w:widowControl/>
        <w:wordWrap/>
        <w:autoSpaceDE/>
        <w:autoSpaceDN/>
        <w:spacing w:after="0" w:line="240" w:lineRule="auto"/>
        <w:rPr>
          <w:rFonts w:ascii="Arial" w:eastAsia="Times New Roman" w:hAnsi="Arial" w:cs="Arial"/>
          <w:sz w:val="22"/>
          <w:shd w:val="clear" w:color="auto" w:fill="FFFFFF"/>
        </w:rPr>
      </w:pPr>
      <w:r w:rsidRPr="00DB1F27">
        <w:rPr>
          <w:rFonts w:ascii="Arial" w:eastAsia="Times New Roman" w:hAnsi="Arial" w:cs="Arial"/>
          <w:sz w:val="22"/>
          <w:shd w:val="clear" w:color="auto" w:fill="FFFFFF"/>
        </w:rPr>
        <w:t>« L'économie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Indiana est en pleine croissance », a déclaré </w:t>
      </w:r>
      <w:proofErr w:type="spellStart"/>
      <w:r w:rsidRPr="00DB1F27">
        <w:rPr>
          <w:rFonts w:ascii="Arial" w:eastAsia="Times New Roman" w:hAnsi="Arial" w:cs="Arial"/>
          <w:sz w:val="22"/>
          <w:shd w:val="clear" w:color="auto" w:fill="FFFFFF"/>
        </w:rPr>
        <w:t>Eric</w:t>
      </w:r>
      <w:proofErr w:type="spellEnd"/>
      <w:r w:rsidRPr="00DB1F27">
        <w:rPr>
          <w:rFonts w:ascii="Arial" w:eastAsia="Times New Roman" w:hAnsi="Arial" w:cs="Arial"/>
          <w:sz w:val="22"/>
          <w:shd w:val="clear" w:color="auto" w:fill="FFFFFF"/>
        </w:rPr>
        <w:t xml:space="preserve"> </w:t>
      </w:r>
      <w:proofErr w:type="spellStart"/>
      <w:r w:rsidRPr="00DB1F27">
        <w:rPr>
          <w:rFonts w:ascii="Arial" w:eastAsia="Times New Roman" w:hAnsi="Arial" w:cs="Arial"/>
          <w:sz w:val="22"/>
          <w:shd w:val="clear" w:color="auto" w:fill="FFFFFF"/>
        </w:rPr>
        <w:t>Holcomb</w:t>
      </w:r>
      <w:proofErr w:type="spellEnd"/>
      <w:r w:rsidRPr="00DB1F27">
        <w:rPr>
          <w:rFonts w:ascii="Arial" w:eastAsia="Times New Roman" w:hAnsi="Arial" w:cs="Arial"/>
          <w:sz w:val="22"/>
          <w:shd w:val="clear" w:color="auto" w:fill="FFFFFF"/>
        </w:rPr>
        <w:t>, Gouverneur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Indiana. </w:t>
      </w:r>
      <w:r>
        <w:rPr>
          <w:rFonts w:ascii="Arial" w:eastAsia="Times New Roman" w:hAnsi="Arial" w:cs="Arial"/>
          <w:sz w:val="22"/>
          <w:shd w:val="clear" w:color="auto" w:fill="FFFFFF"/>
        </w:rPr>
        <w:t>« </w:t>
      </w:r>
      <w:r w:rsidRPr="00DB1F27">
        <w:rPr>
          <w:rFonts w:ascii="Arial" w:eastAsia="Times New Roman" w:hAnsi="Arial" w:cs="Arial"/>
          <w:sz w:val="22"/>
          <w:shd w:val="clear" w:color="auto" w:fill="FFFFFF"/>
        </w:rPr>
        <w:t>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engagement pris aujourd</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hui par Stellantis et Samsung SDI </w:t>
      </w:r>
      <w:r w:rsidR="00121F0A">
        <w:rPr>
          <w:rFonts w:ascii="Arial" w:eastAsia="Times New Roman" w:hAnsi="Arial" w:cs="Arial"/>
          <w:sz w:val="22"/>
          <w:shd w:val="clear" w:color="auto" w:fill="FFFFFF"/>
        </w:rPr>
        <w:t xml:space="preserve">permettra de </w:t>
      </w:r>
      <w:r w:rsidRPr="00DB1F27">
        <w:rPr>
          <w:rFonts w:ascii="Arial" w:eastAsia="Times New Roman" w:hAnsi="Arial" w:cs="Arial"/>
          <w:sz w:val="22"/>
          <w:shd w:val="clear" w:color="auto" w:fill="FFFFFF"/>
        </w:rPr>
        <w:t>doubler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investissement, </w:t>
      </w:r>
      <w:r w:rsidR="00121F0A">
        <w:rPr>
          <w:rFonts w:ascii="Arial" w:eastAsia="Times New Roman" w:hAnsi="Arial" w:cs="Arial"/>
          <w:sz w:val="22"/>
          <w:shd w:val="clear" w:color="auto" w:fill="FFFFFF"/>
        </w:rPr>
        <w:t xml:space="preserve">de créer de </w:t>
      </w:r>
      <w:r w:rsidRPr="00DB1F27">
        <w:rPr>
          <w:rFonts w:ascii="Arial" w:eastAsia="Times New Roman" w:hAnsi="Arial" w:cs="Arial"/>
          <w:sz w:val="22"/>
          <w:shd w:val="clear" w:color="auto" w:fill="FFFFFF"/>
        </w:rPr>
        <w:t>nouveaux emplois</w:t>
      </w:r>
      <w:r w:rsidR="00121F0A">
        <w:rPr>
          <w:rFonts w:ascii="Arial" w:eastAsia="Times New Roman" w:hAnsi="Arial" w:cs="Arial"/>
          <w:sz w:val="22"/>
          <w:shd w:val="clear" w:color="auto" w:fill="FFFFFF"/>
        </w:rPr>
        <w:t>.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impact </w:t>
      </w:r>
      <w:r w:rsidR="00121F0A">
        <w:rPr>
          <w:rFonts w:ascii="Arial" w:eastAsia="Times New Roman" w:hAnsi="Arial" w:cs="Arial"/>
          <w:sz w:val="22"/>
          <w:shd w:val="clear" w:color="auto" w:fill="FFFFFF"/>
        </w:rPr>
        <w:t>positif de</w:t>
      </w:r>
      <w:r w:rsidRPr="00DB1F27">
        <w:rPr>
          <w:rFonts w:ascii="Arial" w:eastAsia="Times New Roman" w:hAnsi="Arial" w:cs="Arial"/>
          <w:sz w:val="22"/>
          <w:shd w:val="clear" w:color="auto" w:fill="FFFFFF"/>
        </w:rPr>
        <w:t xml:space="preserve"> cette coentreprise</w:t>
      </w:r>
      <w:r w:rsidR="00121F0A">
        <w:rPr>
          <w:rFonts w:ascii="Arial" w:eastAsia="Times New Roman" w:hAnsi="Arial" w:cs="Arial"/>
          <w:sz w:val="22"/>
          <w:shd w:val="clear" w:color="auto" w:fill="FFFFFF"/>
        </w:rPr>
        <w:t xml:space="preserve"> sur la ville de </w:t>
      </w:r>
      <w:r w:rsidRPr="00DB1F27">
        <w:rPr>
          <w:rFonts w:ascii="Arial" w:eastAsia="Times New Roman" w:hAnsi="Arial" w:cs="Arial"/>
          <w:sz w:val="22"/>
          <w:shd w:val="clear" w:color="auto" w:fill="FFFFFF"/>
        </w:rPr>
        <w:t>Kokomo et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État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Indiana </w:t>
      </w:r>
      <w:r w:rsidR="00121F0A">
        <w:rPr>
          <w:rFonts w:ascii="Arial" w:eastAsia="Times New Roman" w:hAnsi="Arial" w:cs="Arial"/>
          <w:sz w:val="22"/>
          <w:shd w:val="clear" w:color="auto" w:fill="FFFFFF"/>
        </w:rPr>
        <w:t xml:space="preserve">se ressentira </w:t>
      </w:r>
      <w:r w:rsidRPr="00DB1F27">
        <w:rPr>
          <w:rFonts w:ascii="Arial" w:eastAsia="Times New Roman" w:hAnsi="Arial" w:cs="Arial"/>
          <w:sz w:val="22"/>
          <w:shd w:val="clear" w:color="auto" w:fill="FFFFFF"/>
        </w:rPr>
        <w:t>pour les décennies à venir. Cette décision place les habitants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État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Indiana au cœur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 xml:space="preserve">innovation et du développement de </w:t>
      </w:r>
      <w:r w:rsidRPr="00DB1F27">
        <w:rPr>
          <w:rFonts w:ascii="Arial" w:eastAsia="Times New Roman" w:hAnsi="Arial" w:cs="Arial"/>
          <w:sz w:val="22"/>
          <w:shd w:val="clear" w:color="auto" w:fill="FFFFFF"/>
        </w:rPr>
        <w:lastRenderedPageBreak/>
        <w:t>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avenir de la mobilité, renforçant ainsi la position de leader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État de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Indiana dans l</w:t>
      </w:r>
      <w:r w:rsidR="00FC782F">
        <w:rPr>
          <w:rFonts w:ascii="Arial" w:eastAsia="Times New Roman" w:hAnsi="Arial" w:cs="Arial"/>
          <w:sz w:val="22"/>
          <w:shd w:val="clear" w:color="auto" w:fill="FFFFFF"/>
        </w:rPr>
        <w:t>’</w:t>
      </w:r>
      <w:r w:rsidRPr="00DB1F27">
        <w:rPr>
          <w:rFonts w:ascii="Arial" w:eastAsia="Times New Roman" w:hAnsi="Arial" w:cs="Arial"/>
          <w:sz w:val="22"/>
          <w:shd w:val="clear" w:color="auto" w:fill="FFFFFF"/>
        </w:rPr>
        <w:t>économie mondiale de demain</w:t>
      </w:r>
      <w:r w:rsidR="006F4B4F">
        <w:rPr>
          <w:rFonts w:ascii="Arial" w:eastAsia="Times New Roman" w:hAnsi="Arial" w:cs="Arial"/>
          <w:sz w:val="22"/>
          <w:shd w:val="clear" w:color="auto" w:fill="FFFFFF"/>
        </w:rPr>
        <w:t>.</w:t>
      </w:r>
      <w:r>
        <w:rPr>
          <w:rFonts w:ascii="Arial" w:eastAsia="Times New Roman" w:hAnsi="Arial" w:cs="Arial"/>
          <w:sz w:val="22"/>
          <w:shd w:val="clear" w:color="auto" w:fill="FFFFFF"/>
        </w:rPr>
        <w:t> »</w:t>
      </w:r>
    </w:p>
    <w:p w14:paraId="605C73D1" w14:textId="1270C480" w:rsidR="00C956AC" w:rsidRDefault="00C956AC" w:rsidP="00E54BB4">
      <w:pPr>
        <w:wordWrap/>
        <w:spacing w:after="0" w:line="240" w:lineRule="auto"/>
        <w:rPr>
          <w:rFonts w:ascii="Arial" w:eastAsia="Times New Roman" w:hAnsi="Arial" w:cs="Arial"/>
          <w:sz w:val="22"/>
          <w:shd w:val="clear" w:color="auto" w:fill="FFFFFF"/>
        </w:rPr>
      </w:pPr>
    </w:p>
    <w:p w14:paraId="4B8FDD89" w14:textId="78D285B6" w:rsidR="008D07B0" w:rsidRPr="00DB1F27" w:rsidRDefault="00EA5474" w:rsidP="00E54BB4">
      <w:pPr>
        <w:wordWrap/>
        <w:spacing w:after="0" w:line="240" w:lineRule="auto"/>
        <w:rPr>
          <w:rFonts w:ascii="Arial" w:eastAsia="Times New Roman" w:hAnsi="Arial" w:cs="Arial"/>
          <w:sz w:val="22"/>
          <w:shd w:val="clear" w:color="auto" w:fill="FFFFFF"/>
        </w:rPr>
      </w:pPr>
      <w:r w:rsidRPr="00DB1F27">
        <w:rPr>
          <w:rFonts w:ascii="Arial" w:eastAsia="Times New Roman" w:hAnsi="Arial" w:cs="Arial"/>
          <w:sz w:val="22"/>
          <w:shd w:val="clear" w:color="auto" w:fill="FFFFFF"/>
        </w:rPr>
        <w:t xml:space="preserve">« Nous tenons </w:t>
      </w:r>
      <w:r w:rsidR="00C22B96" w:rsidRPr="00DB1F27">
        <w:rPr>
          <w:rFonts w:ascii="Arial" w:eastAsia="Times New Roman" w:hAnsi="Arial" w:cs="Arial"/>
          <w:sz w:val="22"/>
          <w:shd w:val="clear" w:color="auto" w:fill="FFFFFF"/>
        </w:rPr>
        <w:t xml:space="preserve">à </w:t>
      </w:r>
      <w:r w:rsidR="008A52B6" w:rsidRPr="00DB1F27">
        <w:rPr>
          <w:rFonts w:ascii="Arial" w:eastAsia="Times New Roman" w:hAnsi="Arial" w:cs="Arial"/>
          <w:sz w:val="22"/>
          <w:shd w:val="clear" w:color="auto" w:fill="FFFFFF"/>
        </w:rPr>
        <w:t xml:space="preserve">remercier </w:t>
      </w:r>
      <w:r w:rsidRPr="00DB1F27">
        <w:rPr>
          <w:rFonts w:ascii="Arial" w:eastAsia="Times New Roman" w:hAnsi="Arial" w:cs="Arial"/>
          <w:sz w:val="22"/>
          <w:shd w:val="clear" w:color="auto" w:fill="FFFFFF"/>
        </w:rPr>
        <w:t xml:space="preserve">Stellantis, Samsung SDI et leur coentreprise </w:t>
      </w:r>
      <w:proofErr w:type="spellStart"/>
      <w:r w:rsidRPr="00DB1F27">
        <w:rPr>
          <w:rFonts w:ascii="Arial" w:eastAsia="Times New Roman" w:hAnsi="Arial" w:cs="Arial"/>
          <w:sz w:val="22"/>
          <w:shd w:val="clear" w:color="auto" w:fill="FFFFFF"/>
        </w:rPr>
        <w:t>StarPlus</w:t>
      </w:r>
      <w:proofErr w:type="spellEnd"/>
      <w:r w:rsidRPr="00DB1F27">
        <w:rPr>
          <w:rFonts w:ascii="Arial" w:eastAsia="Times New Roman" w:hAnsi="Arial" w:cs="Arial"/>
          <w:sz w:val="22"/>
          <w:shd w:val="clear" w:color="auto" w:fill="FFFFFF"/>
        </w:rPr>
        <w:t xml:space="preserve"> Energy pour leur investissement et leur engagement constant en faveur de notre communauté », a déclaré le maire de Kokomo, Tyler Moore. « L’implantation de cette deuxième gigafactory </w:t>
      </w:r>
      <w:r w:rsidR="008A52B6" w:rsidRPr="00DB1F27">
        <w:rPr>
          <w:rFonts w:ascii="Arial" w:eastAsia="Times New Roman" w:hAnsi="Arial" w:cs="Arial"/>
          <w:sz w:val="22"/>
          <w:shd w:val="clear" w:color="auto" w:fill="FFFFFF"/>
        </w:rPr>
        <w:t>renforcera la position</w:t>
      </w:r>
      <w:r w:rsidRPr="00DB1F27">
        <w:rPr>
          <w:rFonts w:ascii="Arial" w:eastAsia="Times New Roman" w:hAnsi="Arial" w:cs="Arial"/>
          <w:sz w:val="22"/>
          <w:shd w:val="clear" w:color="auto" w:fill="FFFFFF"/>
        </w:rPr>
        <w:t xml:space="preserve"> de Kokomo parmi les principaux producteurs de batteries pour véhicules électriques en Amérique du Nord, et démontre que Kokomo reste à la pointe de la technologie en matière de construction automobile. »</w:t>
      </w:r>
    </w:p>
    <w:p w14:paraId="158A0037" w14:textId="058A1160" w:rsidR="008A52B6" w:rsidRPr="00121F0A" w:rsidRDefault="008A52B6" w:rsidP="00E54BB4">
      <w:pPr>
        <w:wordWrap/>
        <w:spacing w:after="0" w:line="240" w:lineRule="auto"/>
        <w:rPr>
          <w:rFonts w:ascii="Arial" w:eastAsia="Times New Roman" w:hAnsi="Arial" w:cs="Arial"/>
          <w:sz w:val="22"/>
          <w:shd w:val="clear" w:color="auto" w:fill="FFFFFF"/>
        </w:rPr>
      </w:pPr>
    </w:p>
    <w:p w14:paraId="5C1921CA" w14:textId="7EA40F82" w:rsidR="00476AB1" w:rsidRPr="00121F0A" w:rsidRDefault="008D07B0" w:rsidP="00E54BB4">
      <w:pPr>
        <w:wordWrap/>
        <w:spacing w:after="0" w:line="240" w:lineRule="auto"/>
        <w:rPr>
          <w:rFonts w:ascii="Arial" w:eastAsia="Times New Roman" w:hAnsi="Arial" w:cs="Arial"/>
          <w:sz w:val="22"/>
          <w:shd w:val="clear" w:color="auto" w:fill="FFFFFF"/>
        </w:rPr>
      </w:pPr>
      <w:r w:rsidRPr="00DB1F27">
        <w:rPr>
          <w:rFonts w:ascii="Arial" w:eastAsia="Times New Roman" w:hAnsi="Arial" w:cs="Arial"/>
          <w:sz w:val="22"/>
          <w:shd w:val="clear" w:color="auto" w:fill="FFFFFF"/>
        </w:rPr>
        <w:t>Dans le cadre de son Plan Stratégique Dare Forward 2030, Stellantis a annoncé son intention d’atteindre 100 % de véhicules électriques (BEV) vendus pour les voitures particulières en Europe et 50 % de BEV vendus pour les voitures particulières et les pick-up aux États-Unis d’ici 2030. Pour réaliser ces objectifs de vente, l’entreprise s’assure donc la disponibilité d’environ 400 GWh de capacité de batterie. Stellantis est en bonne voie pour devenir une entreprise neutre en carbone d’ici 2038, tous champs d’application confondus, avec un pourcentage de compensation des émissions résiduelles à un seul chiffre.</w:t>
      </w:r>
    </w:p>
    <w:p w14:paraId="4E43BB4C" w14:textId="77777777" w:rsidR="008D07B0" w:rsidRPr="00476AB1" w:rsidRDefault="008D07B0" w:rsidP="008D07B0">
      <w:pPr>
        <w:spacing w:after="0" w:line="240" w:lineRule="auto"/>
        <w:rPr>
          <w:rFonts w:ascii="Arial" w:eastAsia="Times New Roman" w:hAnsi="Arial" w:cs="Arial"/>
          <w:sz w:val="22"/>
          <w:shd w:val="clear" w:color="auto" w:fill="FFFFFF"/>
        </w:rPr>
      </w:pPr>
    </w:p>
    <w:p w14:paraId="4550035E" w14:textId="77777777" w:rsidR="008A52B6" w:rsidRDefault="008A52B6" w:rsidP="005E0086">
      <w:pPr>
        <w:spacing w:after="0" w:line="240" w:lineRule="auto"/>
        <w:jc w:val="center"/>
        <w:rPr>
          <w:rFonts w:ascii="Arial" w:hAnsi="Arial"/>
          <w:sz w:val="22"/>
          <w:shd w:val="clear" w:color="auto" w:fill="FFFFFF"/>
        </w:rPr>
      </w:pPr>
    </w:p>
    <w:p w14:paraId="1EE67F01" w14:textId="2FD45A71" w:rsidR="0007479D" w:rsidRDefault="005E0086" w:rsidP="005E0086">
      <w:pPr>
        <w:spacing w:after="0" w:line="240" w:lineRule="auto"/>
        <w:jc w:val="center"/>
        <w:rPr>
          <w:rFonts w:ascii="Arial" w:eastAsia="Times New Roman" w:hAnsi="Arial" w:cs="Arial"/>
          <w:sz w:val="22"/>
          <w:shd w:val="clear" w:color="auto" w:fill="FFFFFF"/>
        </w:rPr>
      </w:pPr>
      <w:r>
        <w:rPr>
          <w:rFonts w:ascii="Arial" w:hAnsi="Arial"/>
          <w:sz w:val="22"/>
          <w:shd w:val="clear" w:color="auto" w:fill="FFFFFF"/>
        </w:rPr>
        <w:t># # #</w:t>
      </w:r>
    </w:p>
    <w:p w14:paraId="132073E0" w14:textId="77777777" w:rsidR="00AA1951" w:rsidRDefault="00AA1951" w:rsidP="005E0086">
      <w:pPr>
        <w:spacing w:after="0" w:line="240" w:lineRule="auto"/>
        <w:jc w:val="center"/>
        <w:rPr>
          <w:rFonts w:ascii="Arial" w:eastAsia="Times New Roman" w:hAnsi="Arial" w:cs="Arial"/>
          <w:sz w:val="22"/>
          <w:shd w:val="clear" w:color="auto" w:fill="FFFFFF"/>
        </w:rPr>
      </w:pPr>
    </w:p>
    <w:p w14:paraId="22181B98" w14:textId="77777777" w:rsidR="00831236" w:rsidRPr="00831236" w:rsidRDefault="00831236" w:rsidP="00831236">
      <w:pPr>
        <w:spacing w:after="0" w:line="240" w:lineRule="auto"/>
        <w:rPr>
          <w:rFonts w:ascii="Arial" w:eastAsia="Times New Roman" w:hAnsi="Arial" w:cs="Arial"/>
          <w:b/>
          <w:bCs/>
          <w:szCs w:val="20"/>
        </w:rPr>
      </w:pPr>
      <w:bookmarkStart w:id="1" w:name="_Hlk106354158"/>
      <w:r>
        <w:rPr>
          <w:rFonts w:ascii="Arial" w:hAnsi="Arial"/>
          <w:b/>
        </w:rPr>
        <w:t>À propos de Stellantis</w:t>
      </w:r>
    </w:p>
    <w:p w14:paraId="11E76007" w14:textId="4083C0B8" w:rsidR="00831236" w:rsidRPr="00831236" w:rsidRDefault="00831236" w:rsidP="00831236">
      <w:pPr>
        <w:spacing w:after="0" w:line="240" w:lineRule="auto"/>
        <w:rPr>
          <w:rFonts w:ascii="Arial" w:eastAsia="Times New Roman" w:hAnsi="Arial" w:cs="Arial"/>
          <w:szCs w:val="20"/>
        </w:rPr>
      </w:pPr>
      <w:bookmarkStart w:id="2" w:name="_Hlk104023212"/>
      <w:r>
        <w:rPr>
          <w:rFonts w:ascii="Arial" w:hAnsi="Arial"/>
        </w:rPr>
        <w:t xml:space="preserve">Stellantis N.V. (NYSE : STLA / Euronext Milan : STLAM / Euronext Paris : STLAP) fait partie des principaux constructeurs automobiles et fournisseurs de services de mobilité internationaux. </w:t>
      </w:r>
      <w:proofErr w:type="spellStart"/>
      <w:r>
        <w:rPr>
          <w:rFonts w:ascii="Arial" w:hAnsi="Arial"/>
        </w:rPr>
        <w:t>Abarth</w:t>
      </w:r>
      <w:proofErr w:type="spellEnd"/>
      <w:r>
        <w:rPr>
          <w:rFonts w:ascii="Arial" w:hAnsi="Arial"/>
        </w:rPr>
        <w:t xml:space="preserve">,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2" w:history="1">
        <w:r w:rsidRPr="00E97239">
          <w:rPr>
            <w:rStyle w:val="Hyperlink"/>
            <w:rFonts w:ascii="Arial" w:hAnsi="Arial"/>
          </w:rPr>
          <w:t>www.stellantis.com.</w:t>
        </w:r>
        <w:bookmarkEnd w:id="2"/>
      </w:hyperlink>
    </w:p>
    <w:bookmarkEnd w:id="1"/>
    <w:p w14:paraId="4938243B" w14:textId="09D2C294" w:rsidR="007A3EF8" w:rsidRDefault="007A3EF8">
      <w:pPr>
        <w:spacing w:after="0" w:line="240" w:lineRule="auto"/>
        <w:rPr>
          <w:rFonts w:ascii="Times New Roman" w:eastAsia="Times New Roman" w:hAnsi="Times New Roman" w:cs="Times New Roman"/>
          <w:sz w:val="22"/>
        </w:rPr>
      </w:pPr>
    </w:p>
    <w:p w14:paraId="34EA5D54" w14:textId="259369F3" w:rsidR="00C21D55" w:rsidRPr="007A3EF8" w:rsidRDefault="00710B32" w:rsidP="00350185">
      <w:pPr>
        <w:tabs>
          <w:tab w:val="left" w:pos="4140"/>
        </w:tabs>
        <w:spacing w:after="0" w:line="240" w:lineRule="auto"/>
        <w:rPr>
          <w:szCs w:val="20"/>
        </w:rPr>
      </w:pPr>
      <w:r>
        <w:rPr>
          <w:rFonts w:ascii="Arial" w:hAnsi="Arial"/>
          <w:b/>
        </w:rPr>
        <w:t>À propos de Samsung SDI</w:t>
      </w:r>
    </w:p>
    <w:p w14:paraId="30E1C73D" w14:textId="77777777" w:rsidR="0040085F" w:rsidRDefault="0040085F" w:rsidP="0040085F">
      <w:pPr>
        <w:spacing w:after="0" w:line="240" w:lineRule="auto"/>
        <w:rPr>
          <w:rFonts w:ascii="Arial" w:hAnsi="Arial" w:cs="Arial"/>
          <w:color w:val="000000"/>
          <w:szCs w:val="20"/>
          <w:bdr w:val="none" w:sz="0" w:space="0" w:color="auto" w:frame="1"/>
          <w:shd w:val="clear" w:color="auto" w:fill="FFFFFF"/>
        </w:rPr>
      </w:pPr>
      <w:r>
        <w:rPr>
          <w:rStyle w:val="marke3vyn3b28"/>
          <w:rFonts w:ascii="Arial" w:hAnsi="Arial"/>
          <w:color w:val="000000"/>
          <w:bdr w:val="none" w:sz="0" w:space="0" w:color="auto" w:frame="1"/>
          <w:shd w:val="clear" w:color="auto" w:fill="FFFFFF"/>
        </w:rPr>
        <w:t>Samsung</w:t>
      </w:r>
      <w:r>
        <w:rPr>
          <w:rFonts w:ascii="Arial" w:hAnsi="Arial"/>
          <w:color w:val="000000"/>
          <w:bdr w:val="none" w:sz="0" w:space="0" w:color="auto" w:frame="1"/>
          <w:shd w:val="clear" w:color="auto" w:fill="FFFFFF"/>
        </w:rPr>
        <w:t> SDI, qui a son siège en République de Corée, est un fabricant leader mondial de batteries et de matériel électronique, qui redéfinit le monde des véhicules électriques, des systèmes de stockage d’énergie et des appareils informatiques. La société pilote la transformation et l’innovation dans l’objectif de devenir un « leader créatif dans l’industrie de l’énergie et des matériaux de pointe » dans les secteurs de la mobilité électrique, des solutions énergétiques et des semi-conducteurs et écrans. Elle est engagée pour atteindre un approvisionnement en énergie 100 % renouvelable dans tous ses sites mondiaux d’ici 2050. Pour les dernières informations en date, rendez-vous sur </w:t>
      </w:r>
      <w:r>
        <w:rPr>
          <w:rStyle w:val="marke3vyn3b28"/>
          <w:rFonts w:ascii="Arial" w:hAnsi="Arial"/>
          <w:color w:val="000000"/>
          <w:bdr w:val="none" w:sz="0" w:space="0" w:color="auto" w:frame="1"/>
          <w:shd w:val="clear" w:color="auto" w:fill="FFFFFF"/>
        </w:rPr>
        <w:t>Samsung</w:t>
      </w:r>
      <w:r>
        <w:rPr>
          <w:rFonts w:ascii="Arial" w:hAnsi="Arial"/>
          <w:color w:val="000000"/>
          <w:bdr w:val="none" w:sz="0" w:space="0" w:color="auto" w:frame="1"/>
          <w:shd w:val="clear" w:color="auto" w:fill="FFFFFF"/>
        </w:rPr>
        <w:t> SDI News à l’adresse </w:t>
      </w:r>
      <w:hyperlink r:id="rId13" w:tgtFrame="_blank" w:history="1">
        <w:r>
          <w:rPr>
            <w:rStyle w:val="Hyperlink"/>
            <w:rFonts w:ascii="Arial" w:hAnsi="Arial"/>
            <w:bdr w:val="none" w:sz="0" w:space="0" w:color="auto" w:frame="1"/>
            <w:shd w:val="clear" w:color="auto" w:fill="FFFFFF"/>
          </w:rPr>
          <w:t>https://www.</w:t>
        </w:r>
        <w:r>
          <w:rPr>
            <w:rStyle w:val="marke3vyn3b28"/>
            <w:rFonts w:ascii="Arial" w:hAnsi="Arial"/>
            <w:color w:val="0000FF"/>
            <w:u w:val="single"/>
            <w:bdr w:val="none" w:sz="0" w:space="0" w:color="auto" w:frame="1"/>
            <w:shd w:val="clear" w:color="auto" w:fill="FFFFFF"/>
          </w:rPr>
          <w:t>samsung</w:t>
        </w:r>
        <w:r>
          <w:rPr>
            <w:rStyle w:val="Hyperlink"/>
            <w:rFonts w:ascii="Arial" w:hAnsi="Arial"/>
            <w:bdr w:val="none" w:sz="0" w:space="0" w:color="auto" w:frame="1"/>
            <w:shd w:val="clear" w:color="auto" w:fill="FFFFFF"/>
          </w:rPr>
          <w:t>sdi.com/sdi-news/list.html</w:t>
        </w:r>
      </w:hyperlink>
      <w:r>
        <w:rPr>
          <w:rFonts w:ascii="Arial" w:hAnsi="Arial"/>
          <w:color w:val="000000"/>
          <w:bdr w:val="none" w:sz="0" w:space="0" w:color="auto" w:frame="1"/>
          <w:shd w:val="clear" w:color="auto" w:fill="FFFFFF"/>
        </w:rPr>
        <w:t>.</w:t>
      </w:r>
    </w:p>
    <w:p w14:paraId="03A85DD3" w14:textId="77777777" w:rsidR="0007479D" w:rsidRDefault="0007479D" w:rsidP="00350185">
      <w:pPr>
        <w:spacing w:after="0" w:line="240" w:lineRule="auto"/>
        <w:rPr>
          <w:rFonts w:ascii="Arial" w:eastAsia="Arial" w:hAnsi="Arial" w:cs="Arial"/>
          <w:b/>
          <w:sz w:val="22"/>
        </w:rPr>
      </w:pPr>
    </w:p>
    <w:p w14:paraId="0AE993BB" w14:textId="43475EA5" w:rsidR="00D62D05" w:rsidRDefault="00D62D05">
      <w:pPr>
        <w:widowControl/>
        <w:wordWrap/>
        <w:autoSpaceDE/>
        <w:autoSpaceDN/>
        <w:spacing w:after="160" w:line="259" w:lineRule="auto"/>
        <w:rPr>
          <w:rFonts w:ascii="Arial" w:eastAsia="Arial" w:hAnsi="Arial" w:cs="Arial"/>
          <w:b/>
          <w:sz w:val="24"/>
          <w:szCs w:val="24"/>
        </w:rPr>
      </w:pPr>
      <w:r>
        <w:rPr>
          <w:rFonts w:ascii="Arial" w:eastAsia="Arial" w:hAnsi="Arial" w:cs="Arial"/>
          <w:b/>
          <w:sz w:val="24"/>
          <w:szCs w:val="24"/>
        </w:rPr>
        <w:br w:type="page"/>
      </w:r>
    </w:p>
    <w:p w14:paraId="62DE7D18" w14:textId="781CFB82" w:rsidR="007A3EF8" w:rsidRPr="0038217D" w:rsidRDefault="007A3EF8" w:rsidP="007A3EF8">
      <w:pPr>
        <w:spacing w:after="0"/>
        <w:rPr>
          <w:rFonts w:ascii="Arial" w:eastAsia="Arial" w:hAnsi="Arial" w:cs="Arial"/>
          <w:b/>
          <w:sz w:val="24"/>
          <w:szCs w:val="24"/>
          <w:lang w:val="en-US"/>
        </w:rPr>
      </w:pPr>
      <w:proofErr w:type="gramStart"/>
      <w:r w:rsidRPr="0038217D">
        <w:rPr>
          <w:rFonts w:ascii="Arial" w:hAnsi="Arial"/>
          <w:b/>
          <w:sz w:val="24"/>
          <w:lang w:val="en-US"/>
        </w:rPr>
        <w:lastRenderedPageBreak/>
        <w:t>Contacts :</w:t>
      </w:r>
      <w:proofErr w:type="gramEnd"/>
    </w:p>
    <w:p w14:paraId="017EB047" w14:textId="77777777" w:rsidR="00A24113" w:rsidRPr="0038217D" w:rsidRDefault="00A24113" w:rsidP="00C21D55">
      <w:pPr>
        <w:spacing w:after="0" w:line="240" w:lineRule="auto"/>
        <w:rPr>
          <w:rFonts w:ascii="Arial" w:hAnsi="Arial" w:cs="Arial"/>
          <w:sz w:val="22"/>
          <w:lang w:val="en-US"/>
        </w:rPr>
      </w:pPr>
    </w:p>
    <w:p w14:paraId="5A66EAA1" w14:textId="5290DD24" w:rsidR="00A24113" w:rsidRPr="0038217D" w:rsidRDefault="00A24113" w:rsidP="00C21D55">
      <w:pPr>
        <w:spacing w:after="0" w:line="240" w:lineRule="auto"/>
        <w:rPr>
          <w:rFonts w:ascii="Arial" w:hAnsi="Arial" w:cs="Arial"/>
          <w:b/>
          <w:bCs/>
          <w:szCs w:val="20"/>
          <w:lang w:val="en-US"/>
        </w:rPr>
      </w:pPr>
      <w:r w:rsidRPr="0038217D">
        <w:rPr>
          <w:rFonts w:ascii="Arial" w:hAnsi="Arial"/>
          <w:b/>
          <w:lang w:val="en-US"/>
        </w:rPr>
        <w:t>Samsung</w:t>
      </w:r>
    </w:p>
    <w:p w14:paraId="03DFE9E7" w14:textId="300E34DE" w:rsidR="00A24113" w:rsidRPr="0038217D" w:rsidRDefault="00A24113" w:rsidP="00C21D55">
      <w:pPr>
        <w:spacing w:after="0" w:line="240" w:lineRule="auto"/>
        <w:rPr>
          <w:rFonts w:ascii="Arial" w:hAnsi="Arial" w:cs="Arial"/>
          <w:b/>
          <w:bCs/>
          <w:szCs w:val="20"/>
          <w:lang w:val="en-US"/>
        </w:rPr>
      </w:pPr>
    </w:p>
    <w:p w14:paraId="713F1A24" w14:textId="77777777" w:rsidR="00285174" w:rsidRPr="0038217D" w:rsidRDefault="00285174" w:rsidP="00285174">
      <w:pPr>
        <w:spacing w:after="0" w:line="240" w:lineRule="auto"/>
        <w:rPr>
          <w:rFonts w:ascii="Arial" w:hAnsi="Arial" w:cs="Arial"/>
          <w:b/>
          <w:bCs/>
          <w:szCs w:val="20"/>
          <w:lang w:val="en-US"/>
        </w:rPr>
      </w:pPr>
      <w:proofErr w:type="spellStart"/>
      <w:r w:rsidRPr="0038217D">
        <w:rPr>
          <w:rFonts w:ascii="Arial" w:hAnsi="Arial"/>
          <w:b/>
          <w:lang w:val="en-US"/>
        </w:rPr>
        <w:t>Suhyun</w:t>
      </w:r>
      <w:proofErr w:type="spellEnd"/>
      <w:r w:rsidRPr="0038217D">
        <w:rPr>
          <w:rFonts w:ascii="Arial" w:hAnsi="Arial"/>
          <w:b/>
          <w:lang w:val="en-US"/>
        </w:rPr>
        <w:t xml:space="preserve"> Song </w:t>
      </w:r>
    </w:p>
    <w:p w14:paraId="1CDAC5E6" w14:textId="77777777" w:rsidR="00285174" w:rsidRPr="0038217D" w:rsidRDefault="00285174" w:rsidP="00285174">
      <w:pPr>
        <w:spacing w:after="0" w:line="240" w:lineRule="auto"/>
        <w:rPr>
          <w:rFonts w:ascii="Arial" w:hAnsi="Arial" w:cs="Arial"/>
          <w:szCs w:val="20"/>
          <w:lang w:val="en-US"/>
        </w:rPr>
      </w:pPr>
      <w:r w:rsidRPr="0038217D">
        <w:rPr>
          <w:rFonts w:ascii="Arial" w:hAnsi="Arial"/>
          <w:lang w:val="en-US"/>
        </w:rPr>
        <w:t>Communication Team / Samsung SDI</w:t>
      </w:r>
      <w:r w:rsidRPr="0038217D">
        <w:rPr>
          <w:rFonts w:ascii="Arial" w:hAnsi="Arial"/>
          <w:lang w:val="en-US"/>
        </w:rPr>
        <w:br/>
        <w:t>stella.song@samsung.com</w:t>
      </w:r>
      <w:r w:rsidRPr="0038217D">
        <w:rPr>
          <w:rFonts w:ascii="Arial" w:hAnsi="Arial"/>
          <w:lang w:val="en-US"/>
        </w:rPr>
        <w:br/>
        <w:t>+82 2 2255-2658</w:t>
      </w:r>
    </w:p>
    <w:p w14:paraId="0FE6D4E9" w14:textId="77777777" w:rsidR="00285174" w:rsidRPr="0038217D" w:rsidRDefault="00285174" w:rsidP="00285174">
      <w:pPr>
        <w:spacing w:after="0" w:line="240" w:lineRule="auto"/>
        <w:rPr>
          <w:rFonts w:ascii="Arial" w:hAnsi="Arial" w:cs="Arial"/>
          <w:b/>
          <w:bCs/>
          <w:szCs w:val="20"/>
          <w:lang w:val="en-US"/>
        </w:rPr>
      </w:pPr>
    </w:p>
    <w:p w14:paraId="2582A5A5" w14:textId="77777777" w:rsidR="00285174" w:rsidRPr="0038217D" w:rsidRDefault="00285174" w:rsidP="00285174">
      <w:pPr>
        <w:spacing w:after="0" w:line="240" w:lineRule="auto"/>
        <w:rPr>
          <w:rFonts w:ascii="Arial" w:hAnsi="Arial" w:cs="Arial"/>
          <w:b/>
          <w:bCs/>
          <w:szCs w:val="20"/>
          <w:lang w:val="en-US"/>
        </w:rPr>
      </w:pPr>
      <w:proofErr w:type="spellStart"/>
      <w:r w:rsidRPr="0038217D">
        <w:rPr>
          <w:rFonts w:ascii="Arial" w:hAnsi="Arial"/>
          <w:b/>
          <w:lang w:val="en-US"/>
        </w:rPr>
        <w:t>Yangmo</w:t>
      </w:r>
      <w:proofErr w:type="spellEnd"/>
      <w:r w:rsidRPr="0038217D">
        <w:rPr>
          <w:rFonts w:ascii="Arial" w:hAnsi="Arial"/>
          <w:b/>
          <w:lang w:val="en-US"/>
        </w:rPr>
        <w:t xml:space="preserve"> Ku </w:t>
      </w:r>
    </w:p>
    <w:p w14:paraId="20196ADC" w14:textId="77777777" w:rsidR="00285174" w:rsidRPr="0038217D" w:rsidRDefault="00285174" w:rsidP="00285174">
      <w:pPr>
        <w:spacing w:after="0" w:line="240" w:lineRule="auto"/>
        <w:rPr>
          <w:rFonts w:ascii="Arial" w:hAnsi="Arial" w:cs="Arial"/>
          <w:szCs w:val="20"/>
          <w:lang w:val="en-US"/>
        </w:rPr>
      </w:pPr>
      <w:r w:rsidRPr="0038217D">
        <w:rPr>
          <w:rFonts w:ascii="Arial" w:hAnsi="Arial"/>
          <w:lang w:val="en-US"/>
        </w:rPr>
        <w:t>Communication Team / Samsung SDI</w:t>
      </w:r>
      <w:r w:rsidRPr="0038217D">
        <w:rPr>
          <w:rFonts w:ascii="Arial" w:hAnsi="Arial"/>
          <w:lang w:val="en-US"/>
        </w:rPr>
        <w:br/>
        <w:t>yangmo.ku@samsung.com</w:t>
      </w:r>
      <w:r w:rsidRPr="0038217D">
        <w:rPr>
          <w:rFonts w:ascii="Arial" w:hAnsi="Arial"/>
          <w:lang w:val="en-US"/>
        </w:rPr>
        <w:br/>
        <w:t>+82 2 2255-2617</w:t>
      </w:r>
    </w:p>
    <w:p w14:paraId="49021DD4" w14:textId="77777777" w:rsidR="00285174" w:rsidRPr="0038217D" w:rsidRDefault="00285174" w:rsidP="00C21D55">
      <w:pPr>
        <w:spacing w:after="0" w:line="240" w:lineRule="auto"/>
        <w:rPr>
          <w:rFonts w:ascii="Arial" w:hAnsi="Arial" w:cs="Arial"/>
          <w:b/>
          <w:bCs/>
          <w:szCs w:val="20"/>
          <w:lang w:val="en-US"/>
        </w:rPr>
      </w:pPr>
    </w:p>
    <w:p w14:paraId="5F584FE7" w14:textId="394414D4" w:rsidR="00B91785" w:rsidRPr="00770621" w:rsidRDefault="00A24113" w:rsidP="00C21D55">
      <w:pPr>
        <w:spacing w:after="0" w:line="240" w:lineRule="auto"/>
        <w:rPr>
          <w:rFonts w:ascii="Arial" w:hAnsi="Arial" w:cs="Arial"/>
          <w:b/>
          <w:bCs/>
          <w:szCs w:val="20"/>
        </w:rPr>
      </w:pPr>
      <w:r>
        <w:rPr>
          <w:rFonts w:ascii="Arial" w:hAnsi="Arial"/>
          <w:b/>
        </w:rPr>
        <w:t>Stellantis</w:t>
      </w:r>
    </w:p>
    <w:p w14:paraId="4A0D1A86" w14:textId="77777777" w:rsidR="00A24113" w:rsidRPr="00770621" w:rsidRDefault="00A24113" w:rsidP="00C21D55">
      <w:pPr>
        <w:spacing w:after="0" w:line="240" w:lineRule="auto"/>
        <w:rPr>
          <w:rFonts w:ascii="Arial" w:hAnsi="Arial" w:cs="Arial"/>
          <w:szCs w:val="20"/>
        </w:rPr>
      </w:pPr>
    </w:p>
    <w:p w14:paraId="26875133" w14:textId="77777777" w:rsidR="007A3EF8" w:rsidRPr="00770621" w:rsidRDefault="007A3EF8" w:rsidP="007A3EF8">
      <w:pPr>
        <w:tabs>
          <w:tab w:val="left" w:pos="2592"/>
        </w:tabs>
        <w:wordWrap/>
        <w:spacing w:after="0" w:line="240" w:lineRule="auto"/>
        <w:rPr>
          <w:rFonts w:ascii="Arial" w:eastAsia="Arial" w:hAnsi="Arial" w:cs="Arial"/>
          <w:b/>
          <w:bCs/>
          <w:szCs w:val="20"/>
        </w:rPr>
      </w:pPr>
      <w:proofErr w:type="spellStart"/>
      <w:r>
        <w:rPr>
          <w:rFonts w:ascii="Arial" w:hAnsi="Arial"/>
          <w:b/>
        </w:rPr>
        <w:t>Fernão</w:t>
      </w:r>
      <w:proofErr w:type="spellEnd"/>
      <w:r>
        <w:rPr>
          <w:rFonts w:ascii="Arial" w:hAnsi="Arial"/>
          <w:b/>
        </w:rPr>
        <w:t xml:space="preserve"> Silveira </w:t>
      </w:r>
    </w:p>
    <w:p w14:paraId="3042DF9B" w14:textId="77777777" w:rsidR="007A3EF8" w:rsidRPr="00770621" w:rsidRDefault="007A3EF8" w:rsidP="007A3EF8">
      <w:pPr>
        <w:tabs>
          <w:tab w:val="left" w:pos="2592"/>
        </w:tabs>
        <w:wordWrap/>
        <w:spacing w:after="0" w:line="240" w:lineRule="auto"/>
        <w:rPr>
          <w:rFonts w:ascii="Arial" w:eastAsia="Arial" w:hAnsi="Arial" w:cs="Arial"/>
          <w:szCs w:val="20"/>
        </w:rPr>
      </w:pPr>
      <w:r>
        <w:rPr>
          <w:rFonts w:ascii="Arial" w:hAnsi="Arial"/>
        </w:rPr>
        <w:t>Global Communications / Stellantis</w:t>
      </w:r>
    </w:p>
    <w:p w14:paraId="1088FB21" w14:textId="77777777" w:rsidR="007A3EF8" w:rsidRPr="0038217D" w:rsidRDefault="007A3EF8" w:rsidP="007A3EF8">
      <w:pPr>
        <w:tabs>
          <w:tab w:val="left" w:pos="2592"/>
        </w:tabs>
        <w:wordWrap/>
        <w:spacing w:after="0" w:line="240" w:lineRule="auto"/>
        <w:rPr>
          <w:rFonts w:ascii="Arial" w:eastAsia="Arial" w:hAnsi="Arial" w:cs="Arial"/>
          <w:szCs w:val="20"/>
          <w:lang w:val="en-US"/>
        </w:rPr>
      </w:pPr>
      <w:r w:rsidRPr="0038217D">
        <w:rPr>
          <w:rFonts w:ascii="Arial" w:hAnsi="Arial"/>
          <w:lang w:val="en-US"/>
        </w:rPr>
        <w:t xml:space="preserve">fernao.silveira@stellantis.com </w:t>
      </w:r>
    </w:p>
    <w:p w14:paraId="7216CED7" w14:textId="77777777" w:rsidR="007A3EF8" w:rsidRPr="0038217D" w:rsidRDefault="007A3EF8" w:rsidP="007A3EF8">
      <w:pPr>
        <w:tabs>
          <w:tab w:val="left" w:pos="2592"/>
        </w:tabs>
        <w:wordWrap/>
        <w:spacing w:after="0" w:line="240" w:lineRule="auto"/>
        <w:rPr>
          <w:rFonts w:ascii="Arial" w:eastAsia="Arial" w:hAnsi="Arial" w:cs="Arial"/>
          <w:szCs w:val="20"/>
          <w:lang w:val="en-US"/>
        </w:rPr>
      </w:pPr>
      <w:r w:rsidRPr="0038217D">
        <w:rPr>
          <w:rFonts w:ascii="Arial" w:hAnsi="Arial"/>
          <w:lang w:val="en-US"/>
        </w:rPr>
        <w:t>+31 6 43 25 43 41</w:t>
      </w:r>
    </w:p>
    <w:p w14:paraId="700A1499" w14:textId="77777777" w:rsidR="007A3EF8" w:rsidRPr="0038217D" w:rsidRDefault="007A3EF8" w:rsidP="007A3EF8">
      <w:pPr>
        <w:tabs>
          <w:tab w:val="left" w:pos="2592"/>
        </w:tabs>
        <w:wordWrap/>
        <w:spacing w:after="0" w:line="240" w:lineRule="auto"/>
        <w:rPr>
          <w:rFonts w:ascii="Arial" w:eastAsia="Arial" w:hAnsi="Arial" w:cs="Arial"/>
          <w:szCs w:val="20"/>
          <w:lang w:val="en-US"/>
        </w:rPr>
      </w:pPr>
    </w:p>
    <w:p w14:paraId="4DC53395" w14:textId="77777777" w:rsidR="007A3EF8" w:rsidRPr="0038217D" w:rsidRDefault="007A3EF8" w:rsidP="007A3EF8">
      <w:pPr>
        <w:tabs>
          <w:tab w:val="left" w:pos="2592"/>
        </w:tabs>
        <w:wordWrap/>
        <w:spacing w:after="0" w:line="240" w:lineRule="auto"/>
        <w:rPr>
          <w:rFonts w:ascii="Arial" w:eastAsia="Arial" w:hAnsi="Arial" w:cs="Arial"/>
          <w:b/>
          <w:bCs/>
          <w:szCs w:val="20"/>
          <w:lang w:val="en-US"/>
        </w:rPr>
      </w:pPr>
      <w:r w:rsidRPr="0038217D">
        <w:rPr>
          <w:rFonts w:ascii="Arial" w:hAnsi="Arial"/>
          <w:b/>
          <w:lang w:val="en-US"/>
        </w:rPr>
        <w:t>Shawn Morgan</w:t>
      </w:r>
    </w:p>
    <w:p w14:paraId="2158BAAA" w14:textId="77777777" w:rsidR="007A3EF8" w:rsidRPr="0038217D" w:rsidRDefault="007A3EF8" w:rsidP="007A3EF8">
      <w:pPr>
        <w:tabs>
          <w:tab w:val="left" w:pos="2592"/>
        </w:tabs>
        <w:wordWrap/>
        <w:spacing w:after="0" w:line="240" w:lineRule="auto"/>
        <w:rPr>
          <w:rFonts w:ascii="Arial" w:eastAsia="Arial" w:hAnsi="Arial" w:cs="Arial"/>
          <w:szCs w:val="20"/>
          <w:lang w:val="en-US"/>
        </w:rPr>
      </w:pPr>
      <w:r w:rsidRPr="0038217D">
        <w:rPr>
          <w:rFonts w:ascii="Arial" w:hAnsi="Arial"/>
          <w:lang w:val="en-US"/>
        </w:rPr>
        <w:t>North America Communications / Stellantis</w:t>
      </w:r>
    </w:p>
    <w:p w14:paraId="63FDD5EF" w14:textId="77777777" w:rsidR="007A3EF8" w:rsidRPr="0038217D" w:rsidRDefault="007A3EF8" w:rsidP="007A3EF8">
      <w:pPr>
        <w:tabs>
          <w:tab w:val="left" w:pos="2592"/>
        </w:tabs>
        <w:wordWrap/>
        <w:spacing w:after="0" w:line="240" w:lineRule="auto"/>
        <w:rPr>
          <w:rFonts w:ascii="Arial" w:eastAsia="Arial" w:hAnsi="Arial" w:cs="Arial"/>
          <w:szCs w:val="20"/>
          <w:lang w:val="en-US"/>
        </w:rPr>
      </w:pPr>
      <w:r w:rsidRPr="0038217D">
        <w:rPr>
          <w:rFonts w:ascii="Arial" w:hAnsi="Arial"/>
          <w:lang w:val="en-US"/>
        </w:rPr>
        <w:t>shawn.morgan@stellantis.com</w:t>
      </w:r>
    </w:p>
    <w:p w14:paraId="1C052B49" w14:textId="77777777" w:rsidR="007A3EF8" w:rsidRPr="00210AED" w:rsidRDefault="007A3EF8" w:rsidP="007A3EF8">
      <w:pPr>
        <w:tabs>
          <w:tab w:val="left" w:pos="2592"/>
        </w:tabs>
        <w:wordWrap/>
        <w:spacing w:after="0" w:line="240" w:lineRule="auto"/>
        <w:rPr>
          <w:rFonts w:ascii="Arial" w:eastAsia="Arial" w:hAnsi="Arial" w:cs="Arial"/>
          <w:szCs w:val="20"/>
        </w:rPr>
      </w:pPr>
      <w:r>
        <w:rPr>
          <w:rFonts w:ascii="Arial" w:hAnsi="Arial"/>
        </w:rPr>
        <w:t>+1 (248) 760-2621</w:t>
      </w:r>
    </w:p>
    <w:p w14:paraId="5996930D" w14:textId="1D5F8510" w:rsidR="00B91785" w:rsidRPr="00831236" w:rsidRDefault="007A3EF8" w:rsidP="007A3EF8">
      <w:pPr>
        <w:widowControl/>
        <w:wordWrap/>
        <w:autoSpaceDE/>
        <w:spacing w:after="160" w:line="256" w:lineRule="auto"/>
        <w:rPr>
          <w:rFonts w:ascii="Arial" w:eastAsia="Arial" w:hAnsi="Arial" w:cs="Arial"/>
          <w:b/>
          <w:bCs/>
          <w:szCs w:val="20"/>
        </w:rPr>
      </w:pPr>
      <w:r>
        <w:br w:type="page"/>
      </w:r>
    </w:p>
    <w:p w14:paraId="44C8161E" w14:textId="77777777" w:rsidR="00831236" w:rsidRPr="00831236" w:rsidRDefault="00831236" w:rsidP="00831236">
      <w:pPr>
        <w:rPr>
          <w:rFonts w:ascii="Arial" w:eastAsia="Arial" w:hAnsi="Arial" w:cs="Arial"/>
          <w:b/>
          <w:bCs/>
          <w:i/>
          <w:iCs/>
          <w:sz w:val="18"/>
          <w:szCs w:val="18"/>
        </w:rPr>
      </w:pPr>
      <w:r>
        <w:rPr>
          <w:rFonts w:ascii="Arial" w:hAnsi="Arial"/>
          <w:b/>
          <w:i/>
          <w:sz w:val="18"/>
        </w:rPr>
        <w:lastRenderedPageBreak/>
        <w:t>DÉCLARATIONS PROSPECTIVES DE STELLANTIS</w:t>
      </w:r>
    </w:p>
    <w:p w14:paraId="4B055DDB" w14:textId="4681116B" w:rsidR="00831236" w:rsidRPr="00831236" w:rsidRDefault="00831236" w:rsidP="00831236">
      <w:pPr>
        <w:rPr>
          <w:rFonts w:ascii="Arial" w:eastAsia="Arial" w:hAnsi="Arial" w:cs="Arial"/>
          <w:i/>
          <w:iCs/>
          <w:sz w:val="18"/>
          <w:szCs w:val="18"/>
        </w:rPr>
      </w:pPr>
      <w:r>
        <w:rPr>
          <w:rFonts w:ascii="Arial" w:hAnsi="Arial"/>
          <w:i/>
          <w:sz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rPr>
        <w:t>suite à</w:t>
      </w:r>
      <w:proofErr w:type="gramEnd"/>
      <w:r>
        <w:rPr>
          <w:rFonts w:ascii="Arial" w:hAnsi="Arial"/>
          <w:i/>
          <w:sz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rFonts w:ascii="Arial" w:hAnsi="Arial"/>
          <w:i/>
          <w:sz w:val="18"/>
        </w:rPr>
        <w:t>futures vis-à-vis</w:t>
      </w:r>
      <w:proofErr w:type="gramEnd"/>
      <w:r>
        <w:rPr>
          <w:rFonts w:ascii="Arial" w:hAnsi="Arial"/>
          <w:i/>
          <w:sz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27EE760C" w14:textId="77777777" w:rsidR="00831236" w:rsidRPr="00831236" w:rsidRDefault="00831236" w:rsidP="00831236">
      <w:pPr>
        <w:rPr>
          <w:rFonts w:ascii="Arial" w:eastAsia="Arial" w:hAnsi="Arial" w:cs="Arial"/>
          <w:i/>
          <w:iCs/>
          <w:sz w:val="18"/>
          <w:szCs w:val="18"/>
        </w:rPr>
      </w:pPr>
      <w:r>
        <w:rPr>
          <w:rFonts w:ascii="Arial" w:hAnsi="Arial"/>
          <w:i/>
          <w:sz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02337BE3" w14:textId="77777777" w:rsidR="00831236" w:rsidRPr="00831236" w:rsidRDefault="00831236" w:rsidP="00831236">
      <w:pPr>
        <w:rPr>
          <w:rFonts w:ascii="Arial" w:eastAsia="Arial" w:hAnsi="Arial" w:cs="Arial"/>
          <w:i/>
          <w:iCs/>
          <w:sz w:val="18"/>
          <w:szCs w:val="18"/>
        </w:rPr>
      </w:pPr>
      <w:r>
        <w:rPr>
          <w:rFonts w:ascii="Arial" w:hAnsi="Arial"/>
          <w:i/>
          <w:sz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4BC109DC" w14:textId="28BC3478" w:rsidR="00CE6AA6" w:rsidRPr="00830308" w:rsidRDefault="00CE6AA6" w:rsidP="007A3EF8">
      <w:pPr>
        <w:spacing w:after="0" w:line="240" w:lineRule="auto"/>
        <w:rPr>
          <w:i/>
        </w:rPr>
      </w:pPr>
    </w:p>
    <w:sectPr w:rsidR="00CE6AA6" w:rsidRPr="00830308" w:rsidSect="0040085F">
      <w:head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77D2" w14:textId="77777777" w:rsidR="00007C43" w:rsidRDefault="00007C43" w:rsidP="005C18FB">
      <w:pPr>
        <w:spacing w:after="0" w:line="240" w:lineRule="auto"/>
      </w:pPr>
      <w:r>
        <w:separator/>
      </w:r>
    </w:p>
  </w:endnote>
  <w:endnote w:type="continuationSeparator" w:id="0">
    <w:p w14:paraId="218DB538" w14:textId="77777777" w:rsidR="00007C43" w:rsidRDefault="00007C43"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E9B3" w14:textId="77777777" w:rsidR="00007C43" w:rsidRDefault="00007C43" w:rsidP="005C18FB">
      <w:pPr>
        <w:spacing w:after="0" w:line="240" w:lineRule="auto"/>
      </w:pPr>
      <w:r>
        <w:separator/>
      </w:r>
    </w:p>
  </w:footnote>
  <w:footnote w:type="continuationSeparator" w:id="0">
    <w:p w14:paraId="439054D7" w14:textId="77777777" w:rsidR="00007C43" w:rsidRDefault="00007C43"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t xml:space="preserve">                        </w:t>
    </w:r>
    <w:r>
      <w:rPr>
        <w:noProof/>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130FF"/>
    <w:multiLevelType w:val="hybridMultilevel"/>
    <w:tmpl w:val="C76A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2749444">
    <w:abstractNumId w:val="0"/>
  </w:num>
  <w:num w:numId="2" w16cid:durableId="1151756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07C43"/>
    <w:rsid w:val="00021C0B"/>
    <w:rsid w:val="0002392E"/>
    <w:rsid w:val="00030215"/>
    <w:rsid w:val="000462B9"/>
    <w:rsid w:val="000509BD"/>
    <w:rsid w:val="00056A45"/>
    <w:rsid w:val="00060B4C"/>
    <w:rsid w:val="00061EF5"/>
    <w:rsid w:val="0006478B"/>
    <w:rsid w:val="00072F4E"/>
    <w:rsid w:val="0007479D"/>
    <w:rsid w:val="000800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E645D"/>
    <w:rsid w:val="000F7DB5"/>
    <w:rsid w:val="001064F2"/>
    <w:rsid w:val="00117C44"/>
    <w:rsid w:val="00121F0A"/>
    <w:rsid w:val="00126926"/>
    <w:rsid w:val="00137F00"/>
    <w:rsid w:val="00152A93"/>
    <w:rsid w:val="001532D8"/>
    <w:rsid w:val="001609C6"/>
    <w:rsid w:val="00167725"/>
    <w:rsid w:val="001678C6"/>
    <w:rsid w:val="00167900"/>
    <w:rsid w:val="001709EB"/>
    <w:rsid w:val="00184269"/>
    <w:rsid w:val="00194CA4"/>
    <w:rsid w:val="00196D9C"/>
    <w:rsid w:val="001B296B"/>
    <w:rsid w:val="001C048E"/>
    <w:rsid w:val="001C0C01"/>
    <w:rsid w:val="001C71FF"/>
    <w:rsid w:val="001D16BC"/>
    <w:rsid w:val="001D23CC"/>
    <w:rsid w:val="001D5C99"/>
    <w:rsid w:val="001E3C0F"/>
    <w:rsid w:val="001E40DC"/>
    <w:rsid w:val="001E41F5"/>
    <w:rsid w:val="001E7F73"/>
    <w:rsid w:val="001F2D9D"/>
    <w:rsid w:val="001F5FF4"/>
    <w:rsid w:val="00205671"/>
    <w:rsid w:val="00210AED"/>
    <w:rsid w:val="00224899"/>
    <w:rsid w:val="00226270"/>
    <w:rsid w:val="002376AE"/>
    <w:rsid w:val="00242B43"/>
    <w:rsid w:val="002438F1"/>
    <w:rsid w:val="00251D8A"/>
    <w:rsid w:val="00256312"/>
    <w:rsid w:val="00262140"/>
    <w:rsid w:val="002658B8"/>
    <w:rsid w:val="00270857"/>
    <w:rsid w:val="00275CC6"/>
    <w:rsid w:val="00280E58"/>
    <w:rsid w:val="00285174"/>
    <w:rsid w:val="002972A8"/>
    <w:rsid w:val="002B05E2"/>
    <w:rsid w:val="002B1887"/>
    <w:rsid w:val="002B3481"/>
    <w:rsid w:val="002B6FF9"/>
    <w:rsid w:val="002B7691"/>
    <w:rsid w:val="002C1C43"/>
    <w:rsid w:val="002E5974"/>
    <w:rsid w:val="00300D4F"/>
    <w:rsid w:val="00304557"/>
    <w:rsid w:val="00306B6A"/>
    <w:rsid w:val="00313B73"/>
    <w:rsid w:val="00316D80"/>
    <w:rsid w:val="00320693"/>
    <w:rsid w:val="00321107"/>
    <w:rsid w:val="00322C12"/>
    <w:rsid w:val="00343AB6"/>
    <w:rsid w:val="00346049"/>
    <w:rsid w:val="00350185"/>
    <w:rsid w:val="003628BB"/>
    <w:rsid w:val="00370FBE"/>
    <w:rsid w:val="00377454"/>
    <w:rsid w:val="0038217D"/>
    <w:rsid w:val="0038506D"/>
    <w:rsid w:val="003939D4"/>
    <w:rsid w:val="003963F6"/>
    <w:rsid w:val="003A3B39"/>
    <w:rsid w:val="003A453F"/>
    <w:rsid w:val="003A64B0"/>
    <w:rsid w:val="003C132F"/>
    <w:rsid w:val="003C2B71"/>
    <w:rsid w:val="003C70E5"/>
    <w:rsid w:val="003D686E"/>
    <w:rsid w:val="003D7213"/>
    <w:rsid w:val="003E0D73"/>
    <w:rsid w:val="003E2E54"/>
    <w:rsid w:val="003E6DAA"/>
    <w:rsid w:val="003F03F9"/>
    <w:rsid w:val="003F36E1"/>
    <w:rsid w:val="0040006B"/>
    <w:rsid w:val="0040085F"/>
    <w:rsid w:val="0040099D"/>
    <w:rsid w:val="0040686A"/>
    <w:rsid w:val="00420839"/>
    <w:rsid w:val="00422989"/>
    <w:rsid w:val="004263C7"/>
    <w:rsid w:val="00430FF5"/>
    <w:rsid w:val="004348F9"/>
    <w:rsid w:val="004506FC"/>
    <w:rsid w:val="00450F5B"/>
    <w:rsid w:val="00452F6F"/>
    <w:rsid w:val="00455EAF"/>
    <w:rsid w:val="00457EA7"/>
    <w:rsid w:val="004653CC"/>
    <w:rsid w:val="00476AB1"/>
    <w:rsid w:val="00483F97"/>
    <w:rsid w:val="00487036"/>
    <w:rsid w:val="00494DD7"/>
    <w:rsid w:val="00496B07"/>
    <w:rsid w:val="004A0614"/>
    <w:rsid w:val="004A160C"/>
    <w:rsid w:val="004A6B35"/>
    <w:rsid w:val="004B25B8"/>
    <w:rsid w:val="004B4DA8"/>
    <w:rsid w:val="004B5E3B"/>
    <w:rsid w:val="004C0F5B"/>
    <w:rsid w:val="004C2DFB"/>
    <w:rsid w:val="004C446A"/>
    <w:rsid w:val="004C715A"/>
    <w:rsid w:val="004D2215"/>
    <w:rsid w:val="004F525E"/>
    <w:rsid w:val="00504954"/>
    <w:rsid w:val="00517058"/>
    <w:rsid w:val="00524592"/>
    <w:rsid w:val="00531AAB"/>
    <w:rsid w:val="00531FE6"/>
    <w:rsid w:val="005336A5"/>
    <w:rsid w:val="005532E0"/>
    <w:rsid w:val="00556DFE"/>
    <w:rsid w:val="00566BD0"/>
    <w:rsid w:val="00572F5B"/>
    <w:rsid w:val="00584DA4"/>
    <w:rsid w:val="00591E94"/>
    <w:rsid w:val="0059342E"/>
    <w:rsid w:val="005A2B9E"/>
    <w:rsid w:val="005A46A2"/>
    <w:rsid w:val="005A49A6"/>
    <w:rsid w:val="005B24B8"/>
    <w:rsid w:val="005B4C52"/>
    <w:rsid w:val="005B6248"/>
    <w:rsid w:val="005C18FB"/>
    <w:rsid w:val="005C22E7"/>
    <w:rsid w:val="005C636E"/>
    <w:rsid w:val="005D29FA"/>
    <w:rsid w:val="005D7CED"/>
    <w:rsid w:val="005E0086"/>
    <w:rsid w:val="005E32F9"/>
    <w:rsid w:val="005E7310"/>
    <w:rsid w:val="0060402C"/>
    <w:rsid w:val="0061354A"/>
    <w:rsid w:val="00613663"/>
    <w:rsid w:val="006268C8"/>
    <w:rsid w:val="00630C93"/>
    <w:rsid w:val="0063132B"/>
    <w:rsid w:val="00633B1A"/>
    <w:rsid w:val="006376ED"/>
    <w:rsid w:val="006400E9"/>
    <w:rsid w:val="00647A34"/>
    <w:rsid w:val="00664CBA"/>
    <w:rsid w:val="00667980"/>
    <w:rsid w:val="006740F6"/>
    <w:rsid w:val="00676804"/>
    <w:rsid w:val="00682CB5"/>
    <w:rsid w:val="00683A89"/>
    <w:rsid w:val="006970F4"/>
    <w:rsid w:val="006A1ED6"/>
    <w:rsid w:val="006A5724"/>
    <w:rsid w:val="006C0DEE"/>
    <w:rsid w:val="006C692F"/>
    <w:rsid w:val="006C719D"/>
    <w:rsid w:val="006C7BA7"/>
    <w:rsid w:val="006D0B10"/>
    <w:rsid w:val="006D34B2"/>
    <w:rsid w:val="006D5382"/>
    <w:rsid w:val="006F4B4F"/>
    <w:rsid w:val="006F6C3B"/>
    <w:rsid w:val="00700625"/>
    <w:rsid w:val="00706635"/>
    <w:rsid w:val="007078B4"/>
    <w:rsid w:val="00707F0F"/>
    <w:rsid w:val="00710B32"/>
    <w:rsid w:val="00726E9D"/>
    <w:rsid w:val="00730D61"/>
    <w:rsid w:val="00747645"/>
    <w:rsid w:val="0075149D"/>
    <w:rsid w:val="007515D1"/>
    <w:rsid w:val="00751BC6"/>
    <w:rsid w:val="00757802"/>
    <w:rsid w:val="00762A41"/>
    <w:rsid w:val="00762C34"/>
    <w:rsid w:val="00763736"/>
    <w:rsid w:val="007662EE"/>
    <w:rsid w:val="00770621"/>
    <w:rsid w:val="00776C91"/>
    <w:rsid w:val="007820FE"/>
    <w:rsid w:val="007A3EF8"/>
    <w:rsid w:val="007B2A6E"/>
    <w:rsid w:val="007B6CCC"/>
    <w:rsid w:val="007C2A10"/>
    <w:rsid w:val="007D2F7F"/>
    <w:rsid w:val="007D7C03"/>
    <w:rsid w:val="007E4BD0"/>
    <w:rsid w:val="007F6591"/>
    <w:rsid w:val="00816784"/>
    <w:rsid w:val="0082685E"/>
    <w:rsid w:val="00830308"/>
    <w:rsid w:val="00831236"/>
    <w:rsid w:val="008328F5"/>
    <w:rsid w:val="00840591"/>
    <w:rsid w:val="00856101"/>
    <w:rsid w:val="00865397"/>
    <w:rsid w:val="00866FFB"/>
    <w:rsid w:val="00873DF6"/>
    <w:rsid w:val="00881420"/>
    <w:rsid w:val="00886319"/>
    <w:rsid w:val="0088669E"/>
    <w:rsid w:val="00894703"/>
    <w:rsid w:val="00897EB8"/>
    <w:rsid w:val="008A10A3"/>
    <w:rsid w:val="008A52B6"/>
    <w:rsid w:val="008B1463"/>
    <w:rsid w:val="008C592D"/>
    <w:rsid w:val="008C661C"/>
    <w:rsid w:val="008D07B0"/>
    <w:rsid w:val="008E0BDE"/>
    <w:rsid w:val="008E0ED6"/>
    <w:rsid w:val="008F4720"/>
    <w:rsid w:val="009035ED"/>
    <w:rsid w:val="00904626"/>
    <w:rsid w:val="00911497"/>
    <w:rsid w:val="0091154E"/>
    <w:rsid w:val="00920F65"/>
    <w:rsid w:val="0092213B"/>
    <w:rsid w:val="0092262A"/>
    <w:rsid w:val="009403BA"/>
    <w:rsid w:val="00942D14"/>
    <w:rsid w:val="009513AE"/>
    <w:rsid w:val="00965494"/>
    <w:rsid w:val="0096567D"/>
    <w:rsid w:val="009B0EB3"/>
    <w:rsid w:val="009B45A3"/>
    <w:rsid w:val="009C3C7C"/>
    <w:rsid w:val="009C61CF"/>
    <w:rsid w:val="009C6B50"/>
    <w:rsid w:val="009E4317"/>
    <w:rsid w:val="009F1FB5"/>
    <w:rsid w:val="00A00997"/>
    <w:rsid w:val="00A00F0B"/>
    <w:rsid w:val="00A03072"/>
    <w:rsid w:val="00A16089"/>
    <w:rsid w:val="00A17B59"/>
    <w:rsid w:val="00A24113"/>
    <w:rsid w:val="00A32FD6"/>
    <w:rsid w:val="00A365DB"/>
    <w:rsid w:val="00A43A58"/>
    <w:rsid w:val="00A443B9"/>
    <w:rsid w:val="00A46D29"/>
    <w:rsid w:val="00A51AA1"/>
    <w:rsid w:val="00A553B6"/>
    <w:rsid w:val="00A56AC6"/>
    <w:rsid w:val="00A64518"/>
    <w:rsid w:val="00A757D6"/>
    <w:rsid w:val="00A76972"/>
    <w:rsid w:val="00A83300"/>
    <w:rsid w:val="00A94B57"/>
    <w:rsid w:val="00A9666F"/>
    <w:rsid w:val="00A977C7"/>
    <w:rsid w:val="00AA1808"/>
    <w:rsid w:val="00AA1951"/>
    <w:rsid w:val="00AA3778"/>
    <w:rsid w:val="00AB2E64"/>
    <w:rsid w:val="00AC5747"/>
    <w:rsid w:val="00AC60BD"/>
    <w:rsid w:val="00AE1753"/>
    <w:rsid w:val="00B040F4"/>
    <w:rsid w:val="00B056F8"/>
    <w:rsid w:val="00B06FD4"/>
    <w:rsid w:val="00B118EC"/>
    <w:rsid w:val="00B13D6C"/>
    <w:rsid w:val="00B23DF5"/>
    <w:rsid w:val="00B300B6"/>
    <w:rsid w:val="00B34176"/>
    <w:rsid w:val="00B37C7F"/>
    <w:rsid w:val="00B41A9F"/>
    <w:rsid w:val="00B4680B"/>
    <w:rsid w:val="00B64A28"/>
    <w:rsid w:val="00B67462"/>
    <w:rsid w:val="00B719D3"/>
    <w:rsid w:val="00B74B22"/>
    <w:rsid w:val="00B75906"/>
    <w:rsid w:val="00B84C81"/>
    <w:rsid w:val="00B91785"/>
    <w:rsid w:val="00B9411E"/>
    <w:rsid w:val="00B94441"/>
    <w:rsid w:val="00BA56F2"/>
    <w:rsid w:val="00BC3896"/>
    <w:rsid w:val="00BC74AF"/>
    <w:rsid w:val="00BD6BE3"/>
    <w:rsid w:val="00BE1991"/>
    <w:rsid w:val="00BE1A93"/>
    <w:rsid w:val="00BF3AFB"/>
    <w:rsid w:val="00BF4295"/>
    <w:rsid w:val="00C1705B"/>
    <w:rsid w:val="00C20C6C"/>
    <w:rsid w:val="00C21D55"/>
    <w:rsid w:val="00C22B96"/>
    <w:rsid w:val="00C26972"/>
    <w:rsid w:val="00C4199C"/>
    <w:rsid w:val="00C4557F"/>
    <w:rsid w:val="00C53F3C"/>
    <w:rsid w:val="00C54891"/>
    <w:rsid w:val="00C60404"/>
    <w:rsid w:val="00C61A4B"/>
    <w:rsid w:val="00C628B0"/>
    <w:rsid w:val="00C7507F"/>
    <w:rsid w:val="00C9029D"/>
    <w:rsid w:val="00C956AC"/>
    <w:rsid w:val="00CA1110"/>
    <w:rsid w:val="00CA1CB5"/>
    <w:rsid w:val="00CA3432"/>
    <w:rsid w:val="00CC7EDB"/>
    <w:rsid w:val="00CD0D2D"/>
    <w:rsid w:val="00CD3D45"/>
    <w:rsid w:val="00CD5AAB"/>
    <w:rsid w:val="00CE1756"/>
    <w:rsid w:val="00CE6AA6"/>
    <w:rsid w:val="00CF467D"/>
    <w:rsid w:val="00D033D2"/>
    <w:rsid w:val="00D0448F"/>
    <w:rsid w:val="00D0578F"/>
    <w:rsid w:val="00D10910"/>
    <w:rsid w:val="00D12057"/>
    <w:rsid w:val="00D125B9"/>
    <w:rsid w:val="00D25B44"/>
    <w:rsid w:val="00D56B3E"/>
    <w:rsid w:val="00D62D05"/>
    <w:rsid w:val="00D63A40"/>
    <w:rsid w:val="00D671BE"/>
    <w:rsid w:val="00D725CB"/>
    <w:rsid w:val="00D74CC8"/>
    <w:rsid w:val="00D74DE2"/>
    <w:rsid w:val="00D807F3"/>
    <w:rsid w:val="00D8190D"/>
    <w:rsid w:val="00D90817"/>
    <w:rsid w:val="00D9100E"/>
    <w:rsid w:val="00D92195"/>
    <w:rsid w:val="00DB1F27"/>
    <w:rsid w:val="00DB3ECD"/>
    <w:rsid w:val="00DB5654"/>
    <w:rsid w:val="00DC0A0B"/>
    <w:rsid w:val="00DC59C6"/>
    <w:rsid w:val="00DC6B38"/>
    <w:rsid w:val="00DD5800"/>
    <w:rsid w:val="00DE142F"/>
    <w:rsid w:val="00DE457D"/>
    <w:rsid w:val="00E055DA"/>
    <w:rsid w:val="00E07170"/>
    <w:rsid w:val="00E13357"/>
    <w:rsid w:val="00E23BD9"/>
    <w:rsid w:val="00E31648"/>
    <w:rsid w:val="00E54BB4"/>
    <w:rsid w:val="00E60996"/>
    <w:rsid w:val="00E65245"/>
    <w:rsid w:val="00E66A11"/>
    <w:rsid w:val="00E70FFD"/>
    <w:rsid w:val="00E720BC"/>
    <w:rsid w:val="00E75223"/>
    <w:rsid w:val="00E77085"/>
    <w:rsid w:val="00E81D29"/>
    <w:rsid w:val="00E97239"/>
    <w:rsid w:val="00EA5474"/>
    <w:rsid w:val="00EA73D3"/>
    <w:rsid w:val="00EA7D05"/>
    <w:rsid w:val="00EA7F09"/>
    <w:rsid w:val="00EB4500"/>
    <w:rsid w:val="00EC556D"/>
    <w:rsid w:val="00ED0953"/>
    <w:rsid w:val="00EE2ABF"/>
    <w:rsid w:val="00EE7CB8"/>
    <w:rsid w:val="00EF62C4"/>
    <w:rsid w:val="00F0146E"/>
    <w:rsid w:val="00F01C21"/>
    <w:rsid w:val="00F12849"/>
    <w:rsid w:val="00F15499"/>
    <w:rsid w:val="00F169C1"/>
    <w:rsid w:val="00F20485"/>
    <w:rsid w:val="00F21B43"/>
    <w:rsid w:val="00F30E7B"/>
    <w:rsid w:val="00F31E27"/>
    <w:rsid w:val="00F330A8"/>
    <w:rsid w:val="00F333F8"/>
    <w:rsid w:val="00F335D0"/>
    <w:rsid w:val="00F36D64"/>
    <w:rsid w:val="00F460EF"/>
    <w:rsid w:val="00F475E5"/>
    <w:rsid w:val="00F52E65"/>
    <w:rsid w:val="00F541DE"/>
    <w:rsid w:val="00F571A4"/>
    <w:rsid w:val="00F6013F"/>
    <w:rsid w:val="00F64CE2"/>
    <w:rsid w:val="00F66C71"/>
    <w:rsid w:val="00F75034"/>
    <w:rsid w:val="00F84AF0"/>
    <w:rsid w:val="00F917C1"/>
    <w:rsid w:val="00F96DE7"/>
    <w:rsid w:val="00F97EDB"/>
    <w:rsid w:val="00FA6852"/>
    <w:rsid w:val="00FB06CA"/>
    <w:rsid w:val="00FB1E9F"/>
    <w:rsid w:val="00FB3CDE"/>
    <w:rsid w:val="00FC098A"/>
    <w:rsid w:val="00FC1CF9"/>
    <w:rsid w:val="00FC360E"/>
    <w:rsid w:val="00FC6A33"/>
    <w:rsid w:val="00FC782F"/>
    <w:rsid w:val="00FD0D20"/>
    <w:rsid w:val="00FD7829"/>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unhideWhenUsed/>
    <w:rsid w:val="00205671"/>
    <w:pPr>
      <w:spacing w:line="240" w:lineRule="auto"/>
    </w:pPr>
    <w:rPr>
      <w:szCs w:val="20"/>
    </w:rPr>
  </w:style>
  <w:style w:type="character" w:customStyle="1" w:styleId="CommentTextChar">
    <w:name w:val="Comment Text Char"/>
    <w:basedOn w:val="DefaultParagraphFont"/>
    <w:link w:val="CommentText"/>
    <w:uiPriority w:val="99"/>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customStyle="1" w:styleId="Mentionnonrsolue1">
    <w:name w:val="Mention non résolue1"/>
    <w:basedOn w:val="DefaultParagraphFont"/>
    <w:uiPriority w:val="99"/>
    <w:semiHidden/>
    <w:unhideWhenUsed/>
    <w:rsid w:val="003D686E"/>
    <w:rPr>
      <w:color w:val="605E5C"/>
      <w:shd w:val="clear" w:color="auto" w:fill="E1DFDD"/>
    </w:rPr>
  </w:style>
  <w:style w:type="character" w:customStyle="1" w:styleId="marke3vyn3b28">
    <w:name w:val="marke3vyn3b28"/>
    <w:basedOn w:val="DefaultParagraphFont"/>
    <w:rsid w:val="0040085F"/>
  </w:style>
  <w:style w:type="character" w:styleId="FollowedHyperlink">
    <w:name w:val="FollowedHyperlink"/>
    <w:basedOn w:val="DefaultParagraphFont"/>
    <w:uiPriority w:val="99"/>
    <w:semiHidden/>
    <w:unhideWhenUsed/>
    <w:rsid w:val="00D12057"/>
    <w:rPr>
      <w:color w:val="954F72" w:themeColor="followedHyperlink"/>
      <w:u w:val="single"/>
    </w:rPr>
  </w:style>
  <w:style w:type="paragraph" w:styleId="ListParagraph">
    <w:name w:val="List Paragraph"/>
    <w:basedOn w:val="Normal"/>
    <w:uiPriority w:val="34"/>
    <w:qFormat/>
    <w:rsid w:val="008D07B0"/>
    <w:pPr>
      <w:ind w:left="720"/>
      <w:contextualSpacing/>
    </w:pPr>
  </w:style>
  <w:style w:type="character" w:styleId="UnresolvedMention">
    <w:name w:val="Unresolved Mention"/>
    <w:basedOn w:val="DefaultParagraphFont"/>
    <w:uiPriority w:val="99"/>
    <w:semiHidden/>
    <w:unhideWhenUsed/>
    <w:rsid w:val="00682CB5"/>
    <w:rPr>
      <w:color w:val="605E5C"/>
      <w:shd w:val="clear" w:color="auto" w:fill="E1DFDD"/>
    </w:rPr>
  </w:style>
  <w:style w:type="character" w:customStyle="1" w:styleId="ui-provider">
    <w:name w:val="ui-provider"/>
    <w:basedOn w:val="DefaultParagraphFont"/>
    <w:rsid w:val="0012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sungsdi.com/sdi-news/lis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ellant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actualite/communiques-de-presse/2022/mai/stellantis-et-samsung-annoncent-une-usine-de-production-de-batteries-a-kokom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ellantis.com/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12" ma:contentTypeDescription="Crée un document." ma:contentTypeScope="" ma:versionID="153646ab6a83c322bd503a5f0601c976">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c023aa4e1f06b1f2aa1362beabb8a62e"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124f3e-62bf-417a-9cfc-c86be3dfa0f3" xsi:nil="true"/>
  </documentManagement>
</p:properties>
</file>

<file path=customXml/itemProps1.xml><?xml version="1.0" encoding="utf-8"?>
<ds:datastoreItem xmlns:ds="http://schemas.openxmlformats.org/officeDocument/2006/customXml" ds:itemID="{04BFD7F3-EF2F-438E-99B5-E3CC19F4AEB1}">
  <ds:schemaRefs>
    <ds:schemaRef ds:uri="http://schemas.microsoft.com/sharepoint/v3/contenttype/forms"/>
  </ds:schemaRefs>
</ds:datastoreItem>
</file>

<file path=customXml/itemProps2.xml><?xml version="1.0" encoding="utf-8"?>
<ds:datastoreItem xmlns:ds="http://schemas.openxmlformats.org/officeDocument/2006/customXml" ds:itemID="{C44F0582-8EF0-4AA7-ADAA-FAF81F44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 ds:uri="d6124f3e-62bf-417a-9cfc-c86be3dfa0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10448</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KAILEEN</cp:lastModifiedBy>
  <cp:revision>2</cp:revision>
  <cp:lastPrinted>2021-10-13T07:55:00Z</cp:lastPrinted>
  <dcterms:created xsi:type="dcterms:W3CDTF">2023-10-11T08:27:00Z</dcterms:created>
  <dcterms:modified xsi:type="dcterms:W3CDTF">2023-10-11T08:27:00Z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