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2996" w14:textId="77777777" w:rsidR="00A154B4" w:rsidRDefault="00A154B4" w:rsidP="006A390B">
      <w:pPr>
        <w:jc w:val="center"/>
        <w:rPr>
          <w:rFonts w:ascii="Arial" w:hAnsi="Arial" w:cs="Arial"/>
          <w:b/>
          <w:bCs/>
          <w:sz w:val="32"/>
          <w:szCs w:val="32"/>
        </w:rPr>
      </w:pPr>
    </w:p>
    <w:p w14:paraId="734A17E2" w14:textId="77777777" w:rsidR="004D51A7" w:rsidRDefault="004D51A7" w:rsidP="006A390B">
      <w:pPr>
        <w:jc w:val="center"/>
        <w:rPr>
          <w:rFonts w:ascii="Arial" w:hAnsi="Arial" w:cs="Arial"/>
          <w:b/>
          <w:bCs/>
          <w:sz w:val="32"/>
          <w:szCs w:val="32"/>
        </w:rPr>
      </w:pPr>
    </w:p>
    <w:p w14:paraId="48DB2639" w14:textId="6651249C" w:rsidR="00D90200" w:rsidRDefault="00BA7278" w:rsidP="006A390B">
      <w:pPr>
        <w:jc w:val="center"/>
        <w:rPr>
          <w:rFonts w:ascii="Arial" w:hAnsi="Arial" w:cs="Arial"/>
          <w:b/>
          <w:bCs/>
          <w:sz w:val="32"/>
          <w:szCs w:val="32"/>
        </w:rPr>
      </w:pPr>
      <w:r>
        <w:rPr>
          <w:rFonts w:ascii="Arial" w:hAnsi="Arial"/>
          <w:b/>
          <w:sz w:val="32"/>
        </w:rPr>
        <w:t xml:space="preserve">Stellantis investit dans CTR pour renforcer la production de lithium à faibles émissions aux États-Unis </w:t>
      </w:r>
    </w:p>
    <w:p w14:paraId="75961C51" w14:textId="6AB16884" w:rsidR="00ED6A87" w:rsidRPr="006A390B" w:rsidRDefault="00ED6A87" w:rsidP="00ED6A87">
      <w:pPr>
        <w:pStyle w:val="ListParagraph"/>
        <w:numPr>
          <w:ilvl w:val="0"/>
          <w:numId w:val="4"/>
        </w:numPr>
        <w:rPr>
          <w:rFonts w:ascii="Arial" w:hAnsi="Arial" w:cs="Arial"/>
        </w:rPr>
      </w:pPr>
      <w:r>
        <w:rPr>
          <w:rFonts w:ascii="Arial" w:hAnsi="Arial"/>
        </w:rPr>
        <w:t>Stellantis investit plus de 100 millions de dollars pour accélérer le développement du projet de lithium géothermique en Californie et favoriser la décarbonation des chaînes d’approvisionnement des véhicules électriques</w:t>
      </w:r>
    </w:p>
    <w:p w14:paraId="5D30D0BE" w14:textId="68E0E136" w:rsidR="00B444D5" w:rsidRDefault="00B92542" w:rsidP="006A390B">
      <w:pPr>
        <w:pStyle w:val="ListParagraph"/>
        <w:numPr>
          <w:ilvl w:val="0"/>
          <w:numId w:val="4"/>
        </w:numPr>
        <w:rPr>
          <w:rFonts w:ascii="Arial" w:hAnsi="Arial" w:cs="Arial"/>
        </w:rPr>
      </w:pPr>
      <w:r>
        <w:rPr>
          <w:rFonts w:ascii="Arial" w:hAnsi="Arial"/>
        </w:rPr>
        <w:t xml:space="preserve">Ce nouvel accord inclut une hausse de l’approvisionnement initial, prévu à 25 000 tonnes, pour atteindre 65 000 tonnes d’hydroxyde de lithium monohydraté </w:t>
      </w:r>
      <w:r w:rsidR="00255F70">
        <w:rPr>
          <w:rFonts w:ascii="Arial" w:hAnsi="Arial"/>
        </w:rPr>
        <w:t xml:space="preserve">par an </w:t>
      </w:r>
      <w:r w:rsidR="00255F70" w:rsidRPr="00C351B5">
        <w:rPr>
          <w:rFonts w:ascii="Arial" w:hAnsi="Arial"/>
        </w:rPr>
        <w:t>pour la fabrication de batterie</w:t>
      </w:r>
    </w:p>
    <w:p w14:paraId="73ABA596" w14:textId="782DEC09" w:rsidR="00A90229" w:rsidRDefault="00BA7278" w:rsidP="006A390B">
      <w:pPr>
        <w:pStyle w:val="ListParagraph"/>
        <w:numPr>
          <w:ilvl w:val="0"/>
          <w:numId w:val="4"/>
        </w:numPr>
        <w:rPr>
          <w:rFonts w:ascii="Arial" w:hAnsi="Arial" w:cs="Arial"/>
        </w:rPr>
      </w:pPr>
      <w:r>
        <w:rPr>
          <w:rFonts w:ascii="Arial" w:hAnsi="Arial"/>
        </w:rPr>
        <w:t>Le processus de production intégré de CTR utilise une conception technique modulaire permettant un développement efficace avec un impact limité sur l’environnement et une empreinte carbone réduite</w:t>
      </w:r>
    </w:p>
    <w:p w14:paraId="26AAA617" w14:textId="3303909B" w:rsidR="00BB10F0" w:rsidRPr="006A390B" w:rsidRDefault="00BB10F0" w:rsidP="006A390B">
      <w:pPr>
        <w:pStyle w:val="ListParagraph"/>
        <w:numPr>
          <w:ilvl w:val="0"/>
          <w:numId w:val="4"/>
        </w:numPr>
        <w:rPr>
          <w:rFonts w:ascii="Arial" w:hAnsi="Arial" w:cs="Arial"/>
        </w:rPr>
      </w:pPr>
      <w:r>
        <w:rPr>
          <w:rFonts w:ascii="Arial" w:hAnsi="Arial"/>
        </w:rPr>
        <w:t xml:space="preserve">L’approvisionnement en hydroxyde de lithium durable soutiendra le Plan Dare </w:t>
      </w:r>
      <w:proofErr w:type="spellStart"/>
      <w:r>
        <w:rPr>
          <w:rFonts w:ascii="Arial" w:hAnsi="Arial"/>
        </w:rPr>
        <w:t>Forward</w:t>
      </w:r>
      <w:proofErr w:type="spellEnd"/>
      <w:r>
        <w:rPr>
          <w:rFonts w:ascii="Arial" w:hAnsi="Arial"/>
        </w:rPr>
        <w:t xml:space="preserve"> 2030 et la stratégie produit offensive de Stellantis aux États-Unis, avec le lancement de plus de 25 nouveaux véhicules électriques (BEV) et la vente de 50 % de BEV à l’horizon 2030 </w:t>
      </w:r>
    </w:p>
    <w:p w14:paraId="7A0E9DDB" w14:textId="3DD4D8A0" w:rsidR="00BB10F0" w:rsidRDefault="00ED6A87" w:rsidP="00663FE8">
      <w:pPr>
        <w:rPr>
          <w:rFonts w:ascii="Arial" w:hAnsi="Arial" w:cs="Arial"/>
        </w:rPr>
      </w:pPr>
      <w:r>
        <w:rPr>
          <w:rFonts w:ascii="Arial" w:hAnsi="Arial"/>
        </w:rPr>
        <w:t>AMSTERDAM, le 1</w:t>
      </w:r>
      <w:r w:rsidR="00C351B5">
        <w:rPr>
          <w:rFonts w:ascii="Arial" w:hAnsi="Arial"/>
        </w:rPr>
        <w:t>7</w:t>
      </w:r>
      <w:r>
        <w:rPr>
          <w:rFonts w:ascii="Arial" w:hAnsi="Arial"/>
        </w:rPr>
        <w:t xml:space="preserve"> août 2023 – Stellantis N.V. et </w:t>
      </w:r>
      <w:proofErr w:type="spellStart"/>
      <w:r>
        <w:rPr>
          <w:rFonts w:ascii="Arial" w:hAnsi="Arial"/>
        </w:rPr>
        <w:t>Controlled</w:t>
      </w:r>
      <w:proofErr w:type="spellEnd"/>
      <w:r>
        <w:rPr>
          <w:rFonts w:ascii="Arial" w:hAnsi="Arial"/>
        </w:rPr>
        <w:t xml:space="preserve"> Thermal </w:t>
      </w:r>
      <w:proofErr w:type="spellStart"/>
      <w:r>
        <w:rPr>
          <w:rFonts w:ascii="Arial" w:hAnsi="Arial"/>
        </w:rPr>
        <w:t>Resources</w:t>
      </w:r>
      <w:proofErr w:type="spellEnd"/>
      <w:r>
        <w:rPr>
          <w:rFonts w:ascii="Arial" w:hAnsi="Arial"/>
        </w:rPr>
        <w:t xml:space="preserve"> Holdings Inc. (CTR) annoncent aujourd’hui un investissement de plus de 100 millions de dollars consenti par Stellantis pour le développement du projet </w:t>
      </w:r>
      <w:proofErr w:type="spellStart"/>
      <w:r>
        <w:rPr>
          <w:rFonts w:ascii="Arial" w:hAnsi="Arial"/>
        </w:rPr>
        <w:t>Hell’s</w:t>
      </w:r>
      <w:proofErr w:type="spellEnd"/>
      <w:r>
        <w:rPr>
          <w:rFonts w:ascii="Arial" w:hAnsi="Arial"/>
        </w:rPr>
        <w:t xml:space="preserve"> </w:t>
      </w:r>
      <w:proofErr w:type="spellStart"/>
      <w:r>
        <w:rPr>
          <w:rFonts w:ascii="Arial" w:hAnsi="Arial"/>
        </w:rPr>
        <w:t>Kitchen</w:t>
      </w:r>
      <w:proofErr w:type="spellEnd"/>
      <w:r>
        <w:rPr>
          <w:rFonts w:ascii="Arial" w:hAnsi="Arial"/>
        </w:rPr>
        <w:t xml:space="preserve"> de CTR, le plus grand projet de lithium géothermique au monde, avec une capacité totale de production de ressources de 300 000 tonnes par an en équivalent de carbonate de lithium. Le lithium produit à </w:t>
      </w:r>
      <w:proofErr w:type="spellStart"/>
      <w:r>
        <w:rPr>
          <w:rFonts w:ascii="Arial" w:hAnsi="Arial"/>
        </w:rPr>
        <w:t>Hell’s</w:t>
      </w:r>
      <w:proofErr w:type="spellEnd"/>
      <w:r>
        <w:rPr>
          <w:rFonts w:ascii="Arial" w:hAnsi="Arial"/>
        </w:rPr>
        <w:t xml:space="preserve"> </w:t>
      </w:r>
      <w:proofErr w:type="spellStart"/>
      <w:r>
        <w:rPr>
          <w:rFonts w:ascii="Arial" w:hAnsi="Arial"/>
        </w:rPr>
        <w:t>Kitchen</w:t>
      </w:r>
      <w:proofErr w:type="spellEnd"/>
      <w:r>
        <w:rPr>
          <w:rFonts w:ascii="Arial" w:hAnsi="Arial"/>
        </w:rPr>
        <w:t xml:space="preserve"> permettra aux véhicules électriques de Stellantis d’être éligibles aux primes à la consommation de la loi américaine sur la réduction de l</w:t>
      </w:r>
      <w:r w:rsidR="00A66139">
        <w:rPr>
          <w:rFonts w:ascii="Arial" w:hAnsi="Arial"/>
        </w:rPr>
        <w:t>’</w:t>
      </w:r>
      <w:r>
        <w:rPr>
          <w:rFonts w:ascii="Arial" w:hAnsi="Arial"/>
        </w:rPr>
        <w:t xml:space="preserve">inflation (Inflation Reduction </w:t>
      </w:r>
      <w:proofErr w:type="spellStart"/>
      <w:r>
        <w:rPr>
          <w:rFonts w:ascii="Arial" w:hAnsi="Arial"/>
        </w:rPr>
        <w:t>Act</w:t>
      </w:r>
      <w:proofErr w:type="spellEnd"/>
      <w:r>
        <w:rPr>
          <w:rFonts w:ascii="Arial" w:hAnsi="Arial"/>
        </w:rPr>
        <w:t xml:space="preserve"> – IRA).</w:t>
      </w:r>
    </w:p>
    <w:p w14:paraId="505D860F" w14:textId="40E20E10" w:rsidR="00625C11" w:rsidRPr="006A390B" w:rsidRDefault="00BB10F0" w:rsidP="00663FE8">
      <w:pPr>
        <w:rPr>
          <w:rFonts w:ascii="Arial" w:hAnsi="Arial" w:cs="Arial"/>
        </w:rPr>
      </w:pPr>
      <w:r>
        <w:rPr>
          <w:rFonts w:ascii="Arial" w:hAnsi="Arial"/>
        </w:rPr>
        <w:t>En outre, les deux entreprises ont étendu le contrat d’approvisionnement initial, qui prévoit désormais la production par CTR de 65 000 tonnes d’hydroxyde de lithium monohydraté (LHM) par an</w:t>
      </w:r>
      <w:r w:rsidR="00255F70">
        <w:rPr>
          <w:rFonts w:ascii="Arial" w:hAnsi="Arial"/>
        </w:rPr>
        <w:t xml:space="preserve"> </w:t>
      </w:r>
      <w:r w:rsidR="00255F70" w:rsidRPr="003D406C">
        <w:rPr>
          <w:rFonts w:ascii="Arial" w:hAnsi="Arial"/>
        </w:rPr>
        <w:t>pour la fabrication de batterie</w:t>
      </w:r>
      <w:r w:rsidR="00255F70">
        <w:rPr>
          <w:rFonts w:ascii="Arial" w:hAnsi="Arial"/>
        </w:rPr>
        <w:t>,</w:t>
      </w:r>
      <w:r>
        <w:rPr>
          <w:rFonts w:ascii="Arial" w:hAnsi="Arial"/>
        </w:rPr>
        <w:t xml:space="preserve"> durant les 10 ans de l’accord. Cette nouvelle entente intègre l’accord d’approvisionnement en lithium original signé par les deux entreprises en juin 2022, pour la fourniture de 25 000 tonnes de LHM par an. </w:t>
      </w:r>
    </w:p>
    <w:p w14:paraId="5A29B3E9" w14:textId="509924D3" w:rsidR="008711F6" w:rsidRDefault="00BA7278" w:rsidP="00663FE8">
      <w:pPr>
        <w:rPr>
          <w:rFonts w:ascii="Arial" w:hAnsi="Arial" w:cs="Arial"/>
        </w:rPr>
      </w:pPr>
      <w:r>
        <w:rPr>
          <w:rFonts w:ascii="Arial" w:hAnsi="Arial"/>
        </w:rPr>
        <w:t xml:space="preserve">Le projet </w:t>
      </w:r>
      <w:proofErr w:type="spellStart"/>
      <w:r>
        <w:rPr>
          <w:rFonts w:ascii="Arial" w:hAnsi="Arial"/>
        </w:rPr>
        <w:t>Hell’s</w:t>
      </w:r>
      <w:proofErr w:type="spellEnd"/>
      <w:r>
        <w:rPr>
          <w:rFonts w:ascii="Arial" w:hAnsi="Arial"/>
        </w:rPr>
        <w:t xml:space="preserve"> </w:t>
      </w:r>
      <w:proofErr w:type="spellStart"/>
      <w:r>
        <w:rPr>
          <w:rFonts w:ascii="Arial" w:hAnsi="Arial"/>
        </w:rPr>
        <w:t>Kitchen</w:t>
      </w:r>
      <w:proofErr w:type="spellEnd"/>
      <w:r>
        <w:rPr>
          <w:rFonts w:ascii="Arial" w:hAnsi="Arial"/>
        </w:rPr>
        <w:t xml:space="preserve"> de CTR dans le comté d</w:t>
      </w:r>
      <w:r w:rsidR="00A66139">
        <w:rPr>
          <w:rFonts w:ascii="Arial" w:hAnsi="Arial"/>
        </w:rPr>
        <w:t>’</w:t>
      </w:r>
      <w:r>
        <w:rPr>
          <w:rFonts w:ascii="Arial" w:hAnsi="Arial"/>
        </w:rPr>
        <w:t xml:space="preserve">Imperial en Californie utilisera de la saumure géothermale pour produire du lithium « écologique » pour les batteries à partir d’énergie renouvelable et de vapeur dans un processus intégré en boucle fermée. Il évite ainsi de devoir recourir à des bassins de saumure, des mines à ciel ouvert ou des combustibles fossiles. </w:t>
      </w:r>
    </w:p>
    <w:p w14:paraId="21896563" w14:textId="360223B8" w:rsidR="00B14724" w:rsidRDefault="00B14724" w:rsidP="005C6089">
      <w:pPr>
        <w:rPr>
          <w:rFonts w:ascii="Arial" w:hAnsi="Arial" w:cs="Arial"/>
        </w:rPr>
      </w:pPr>
      <w:r>
        <w:rPr>
          <w:rFonts w:ascii="Arial" w:hAnsi="Arial"/>
        </w:rPr>
        <w:t xml:space="preserve">« Notre stratégie de décarbonation, leader du secteur, s’appuie sur une production à faibles émissions et un approvisionnement durable comme éléments essentiels de la fabrication de nos véhicules électriques », a déclaré Carlos Tavares, CEO de Stellantis. </w:t>
      </w:r>
      <w:r>
        <w:rPr>
          <w:rFonts w:ascii="Arial" w:hAnsi="Arial"/>
        </w:rPr>
        <w:lastRenderedPageBreak/>
        <w:t>« Cet accord avec CTR représente une avancée majeure pour notre engagement envers nos clients et notre planète, ainsi que notre volonté d’offrir des solutions de mobilité propres, sûres et abordables en Amérique du Nord. »</w:t>
      </w:r>
    </w:p>
    <w:p w14:paraId="24A872D4" w14:textId="639EEFA1" w:rsidR="00123307" w:rsidRPr="00894CC1" w:rsidRDefault="004A5391" w:rsidP="00663FE8">
      <w:pPr>
        <w:rPr>
          <w:rFonts w:ascii="Arial" w:hAnsi="Arial" w:cs="Arial"/>
        </w:rPr>
      </w:pPr>
      <w:r>
        <w:rPr>
          <w:rFonts w:ascii="Arial" w:hAnsi="Arial"/>
        </w:rPr>
        <w:t xml:space="preserve">Dans le cadre de son plan stratégique Dare </w:t>
      </w:r>
      <w:proofErr w:type="spellStart"/>
      <w:r>
        <w:rPr>
          <w:rFonts w:ascii="Arial" w:hAnsi="Arial"/>
        </w:rPr>
        <w:t>Forward</w:t>
      </w:r>
      <w:proofErr w:type="spellEnd"/>
      <w:r>
        <w:rPr>
          <w:rFonts w:ascii="Arial" w:hAnsi="Arial"/>
        </w:rPr>
        <w:t> 2030, Stellantis a annoncé son intention d</w:t>
      </w:r>
      <w:r w:rsidR="00A66139">
        <w:rPr>
          <w:rFonts w:ascii="Arial" w:hAnsi="Arial"/>
        </w:rPr>
        <w:t>’</w:t>
      </w:r>
      <w:r>
        <w:rPr>
          <w:rFonts w:ascii="Arial" w:hAnsi="Arial"/>
        </w:rPr>
        <w:t>atteindre 100 % des ventes de véhicules électriques à batterie (BEV) pour les voitures de tourisme en Europe et 50 % des ventes de BEV pour les voitures de tourisme et les véhicules utilitaires légers aux États-Unis d</w:t>
      </w:r>
      <w:r w:rsidR="00A66139">
        <w:rPr>
          <w:rFonts w:ascii="Arial" w:hAnsi="Arial"/>
        </w:rPr>
        <w:t>’</w:t>
      </w:r>
      <w:r>
        <w:rPr>
          <w:rFonts w:ascii="Arial" w:hAnsi="Arial"/>
        </w:rPr>
        <w:t>ici 2030. Pour atteindre ces objectifs, le Groupe sécurise une capacité de batteries d’environ 400 GWh, soutenu par six usines de production de batteries en Amérique du Nord et en Europe. Stellantis est en bonne voie pour devenir une entreprise neutre en carbone d’ici 2038, tous champs d’application confondus, avec un pourcentage de compensation des émissions résiduelles à un seul chiffre.</w:t>
      </w:r>
    </w:p>
    <w:p w14:paraId="3E3D16E0" w14:textId="0B211B38" w:rsidR="00F45D3D" w:rsidRDefault="00BA7278" w:rsidP="00F45D3D">
      <w:pPr>
        <w:rPr>
          <w:rFonts w:ascii="Arial" w:hAnsi="Arial" w:cs="Arial"/>
        </w:rPr>
      </w:pPr>
      <w:r>
        <w:rPr>
          <w:rFonts w:ascii="Arial" w:hAnsi="Arial"/>
        </w:rPr>
        <w:t xml:space="preserve">« Cet investissement substantiel de Stellantis dans CTR marque un tournant pour notre entreprise et renforce une nouvelle fois nos efforts pour la production de batteries durables pour les véhicules électriques », a déclaré Rod </w:t>
      </w:r>
      <w:proofErr w:type="spellStart"/>
      <w:r>
        <w:rPr>
          <w:rFonts w:ascii="Arial" w:hAnsi="Arial"/>
        </w:rPr>
        <w:t>Colwell</w:t>
      </w:r>
      <w:proofErr w:type="spellEnd"/>
      <w:r>
        <w:rPr>
          <w:rFonts w:ascii="Arial" w:hAnsi="Arial"/>
        </w:rPr>
        <w:t>, CEO de CTR. « Avec l’adoption croissante des véhicules électriques aux États-Unis et dans le reste du monde, il est plus que jamais essentiel de garantir un approvisionnement et une production responsables des matériaux pour batterie. La localisation de la chaîne logistique des batteries nous permet de minimiser les risques d’approvisionnement et de créer des milliers d’emplois dans une communauté défavorisée. Nous remercions la direction de Stellantis et nous sommes impatients de travailler avec eux afin d’établir les nouvelles références du secteur en matière de fiabilité, d’efficacité et de durabilité. »</w:t>
      </w:r>
    </w:p>
    <w:p w14:paraId="6F4816BF" w14:textId="658D5C10" w:rsidR="00F75BDD" w:rsidRDefault="00BA7278" w:rsidP="00663FE8">
      <w:pPr>
        <w:rPr>
          <w:rFonts w:ascii="Arial" w:hAnsi="Arial" w:cs="Arial"/>
        </w:rPr>
      </w:pPr>
      <w:r>
        <w:rPr>
          <w:rFonts w:ascii="Arial" w:hAnsi="Arial"/>
        </w:rPr>
        <w:t>L’approvisionnement en hydroxyde de lithium monohydraté pour batterie par CTR devrait démarrer en 2027 pour Stellantis. L’entreprise prévoit de créer 480 emplois dans le secteur du bâtiment par le biais de conventions collectives complètes, et jusqu’à 940 emplois directement liés au projet lorsque celui-ci sera pleinement actif.</w:t>
      </w:r>
    </w:p>
    <w:p w14:paraId="2E5CA74B" w14:textId="77777777" w:rsidR="007F0624" w:rsidRPr="006A390B" w:rsidRDefault="00BA7278" w:rsidP="00894CC1">
      <w:pPr>
        <w:jc w:val="center"/>
        <w:rPr>
          <w:rFonts w:ascii="Arial" w:hAnsi="Arial" w:cs="Arial"/>
        </w:rPr>
      </w:pPr>
      <w:r>
        <w:rPr>
          <w:rFonts w:ascii="Arial" w:hAnsi="Arial"/>
        </w:rPr>
        <w:t># # #</w:t>
      </w:r>
    </w:p>
    <w:p w14:paraId="46D4EF33" w14:textId="77777777" w:rsidR="00211BDA" w:rsidRPr="00894CC1" w:rsidRDefault="00BA7278" w:rsidP="00663FE8">
      <w:pPr>
        <w:rPr>
          <w:rFonts w:ascii="Arial" w:hAnsi="Arial" w:cs="Arial"/>
          <w:b/>
          <w:bCs/>
        </w:rPr>
      </w:pPr>
      <w:r>
        <w:rPr>
          <w:rFonts w:ascii="Arial" w:hAnsi="Arial"/>
          <w:b/>
        </w:rPr>
        <w:t>À propos de Stellantis</w:t>
      </w:r>
    </w:p>
    <w:p w14:paraId="71E955B6" w14:textId="3D12A99F" w:rsidR="00211BDA" w:rsidRDefault="00BA7278" w:rsidP="00663FE8">
      <w:pPr>
        <w:rPr>
          <w:rFonts w:ascii="Arial" w:hAnsi="Arial"/>
        </w:rPr>
      </w:pPr>
      <w:bookmarkStart w:id="0" w:name="_Hlk104023212"/>
      <w:r>
        <w:rPr>
          <w:rFonts w:ascii="Arial" w:hAnsi="Arial"/>
        </w:rPr>
        <w:t xml:space="preserve">Stellantis N.V. (NYSE : STLA / Euronext Milan : STLAM / Euronext Paris : STLAP) fait partie des principaux constructeurs automobiles et fournisseurs de services de mobilité internationaux. </w:t>
      </w:r>
      <w:proofErr w:type="spellStart"/>
      <w:r>
        <w:rPr>
          <w:rFonts w:ascii="Arial" w:hAnsi="Arial"/>
        </w:rPr>
        <w:t>Abarth</w:t>
      </w:r>
      <w:proofErr w:type="spellEnd"/>
      <w:r>
        <w:rPr>
          <w:rFonts w:ascii="Arial" w:hAnsi="Arial"/>
        </w:rPr>
        <w:t xml:space="preserve">,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Notre objectif : devenir la plus grande tech </w:t>
      </w:r>
      <w:proofErr w:type="spellStart"/>
      <w:r>
        <w:rPr>
          <w:rFonts w:ascii="Arial" w:hAnsi="Arial"/>
        </w:rPr>
        <w:t>company</w:t>
      </w:r>
      <w:proofErr w:type="spellEnd"/>
      <w:r>
        <w:rPr>
          <w:rFonts w:ascii="Arial" w:hAnsi="Arial"/>
        </w:rPr>
        <w:t xml:space="preserve"> de mobilité durable, en termes de qualité et non de taille, tout en créant encore plus de valeur pour l’ensemble de nos partenaires et des communautés au sein desquelles nous opérons. Pour en savoir plus, </w:t>
      </w:r>
      <w:hyperlink r:id="rId11" w:history="1">
        <w:r w:rsidR="00896E06" w:rsidRPr="00241512">
          <w:rPr>
            <w:rStyle w:val="Hyperlink"/>
            <w:rFonts w:ascii="Arial" w:hAnsi="Arial"/>
          </w:rPr>
          <w:t>www.stellantis.com</w:t>
        </w:r>
      </w:hyperlink>
      <w:r>
        <w:rPr>
          <w:rFonts w:ascii="Arial" w:hAnsi="Arial"/>
        </w:rPr>
        <w:t>.</w:t>
      </w:r>
      <w:bookmarkEnd w:id="0"/>
    </w:p>
    <w:p w14:paraId="17163614" w14:textId="77777777" w:rsidR="00896E06" w:rsidRPr="006A390B" w:rsidRDefault="00896E06" w:rsidP="00663FE8">
      <w:pPr>
        <w:rPr>
          <w:rFonts w:ascii="Arial" w:hAnsi="Arial" w:cs="Arial"/>
        </w:rPr>
      </w:pPr>
    </w:p>
    <w:p w14:paraId="454AE94A" w14:textId="0D2BEE70" w:rsidR="009D782E" w:rsidRPr="00894CC1" w:rsidRDefault="00BA7278" w:rsidP="00663FE8">
      <w:pPr>
        <w:rPr>
          <w:rFonts w:ascii="Arial" w:hAnsi="Arial" w:cs="Arial"/>
          <w:b/>
          <w:bCs/>
        </w:rPr>
      </w:pPr>
      <w:bookmarkStart w:id="1" w:name="_heading=h.gjdgxs"/>
      <w:bookmarkEnd w:id="1"/>
      <w:r>
        <w:rPr>
          <w:rFonts w:ascii="Arial" w:hAnsi="Arial"/>
          <w:b/>
        </w:rPr>
        <w:lastRenderedPageBreak/>
        <w:t>À propos de CTR</w:t>
      </w:r>
    </w:p>
    <w:p w14:paraId="295F216C" w14:textId="67F218FC" w:rsidR="00DF61C4" w:rsidRPr="006A390B" w:rsidRDefault="00BA7278" w:rsidP="00663FE8">
      <w:pPr>
        <w:rPr>
          <w:rFonts w:ascii="Arial" w:hAnsi="Arial" w:cs="Arial"/>
        </w:rPr>
      </w:pPr>
      <w:bookmarkStart w:id="2" w:name="_Hlk100564101"/>
      <w:proofErr w:type="spellStart"/>
      <w:r>
        <w:rPr>
          <w:rFonts w:ascii="Arial" w:hAnsi="Arial"/>
        </w:rPr>
        <w:t>Controlled</w:t>
      </w:r>
      <w:proofErr w:type="spellEnd"/>
      <w:r>
        <w:rPr>
          <w:rFonts w:ascii="Arial" w:hAnsi="Arial"/>
        </w:rPr>
        <w:t xml:space="preserve"> Thermal </w:t>
      </w:r>
      <w:proofErr w:type="spellStart"/>
      <w:r>
        <w:rPr>
          <w:rFonts w:ascii="Arial" w:hAnsi="Arial"/>
        </w:rPr>
        <w:t>Resources</w:t>
      </w:r>
      <w:proofErr w:type="spellEnd"/>
      <w:r>
        <w:rPr>
          <w:rFonts w:ascii="Arial" w:hAnsi="Arial"/>
        </w:rPr>
        <w:t xml:space="preserve"> </w:t>
      </w:r>
      <w:bookmarkEnd w:id="2"/>
      <w:r>
        <w:rPr>
          <w:rFonts w:ascii="Arial" w:hAnsi="Arial"/>
        </w:rPr>
        <w:t xml:space="preserve">Holdings Inc. (« CTR »), par le biais de ses sociétés de projet, se spécialise dans la production de minéraux critiques, de lithium pour batterie et d’énergies renouvelables avec des projets déjà bien avancés aux États-Unis. Depuis plus de 30 ans, l’équipe de direction de CTR assure le développement et la gestion de différentes opérations de géothermie réussies dans la région de </w:t>
      </w:r>
      <w:proofErr w:type="spellStart"/>
      <w:r>
        <w:rPr>
          <w:rFonts w:ascii="Arial" w:hAnsi="Arial"/>
        </w:rPr>
        <w:t>Salton</w:t>
      </w:r>
      <w:proofErr w:type="spellEnd"/>
      <w:r>
        <w:rPr>
          <w:rFonts w:ascii="Arial" w:hAnsi="Arial"/>
        </w:rPr>
        <w:t xml:space="preserve"> </w:t>
      </w:r>
      <w:proofErr w:type="spellStart"/>
      <w:r>
        <w:rPr>
          <w:rFonts w:ascii="Arial" w:hAnsi="Arial"/>
        </w:rPr>
        <w:t>Sea</w:t>
      </w:r>
      <w:proofErr w:type="spellEnd"/>
      <w:r>
        <w:rPr>
          <w:rFonts w:ascii="Arial" w:hAnsi="Arial"/>
        </w:rPr>
        <w:t xml:space="preserve">, en Californie. Leurs connaissances hautement spécialisées de la région se sont avérées essentielles pour l’avancée des projets de CTR. La construction devrait démarrer fin 2023 pour la phase 1 du projet </w:t>
      </w:r>
      <w:proofErr w:type="spellStart"/>
      <w:r>
        <w:rPr>
          <w:rFonts w:ascii="Arial" w:hAnsi="Arial"/>
        </w:rPr>
        <w:t>Hell’s</w:t>
      </w:r>
      <w:proofErr w:type="spellEnd"/>
      <w:r>
        <w:rPr>
          <w:rFonts w:ascii="Arial" w:hAnsi="Arial"/>
        </w:rPr>
        <w:t xml:space="preserve"> </w:t>
      </w:r>
      <w:proofErr w:type="spellStart"/>
      <w:r>
        <w:rPr>
          <w:rFonts w:ascii="Arial" w:hAnsi="Arial"/>
        </w:rPr>
        <w:t>Kitchen</w:t>
      </w:r>
      <w:proofErr w:type="spellEnd"/>
      <w:r>
        <w:rPr>
          <w:rFonts w:ascii="Arial" w:hAnsi="Arial"/>
        </w:rPr>
        <w:t xml:space="preserve">. CTR s’engage à fournir de l’énergie renouvelable et des produits à base de lithium durables et abordables en soutien aux initiatives en matière d’énergie verte, et à offrir la garantie d’une chaîne d’approvisionnement en lithium locale et socialement responsable aux États-Unis. Pour en savoir plus, www.cthermal.com. </w:t>
      </w:r>
    </w:p>
    <w:p w14:paraId="5B49F61C" w14:textId="77777777" w:rsidR="00486C6E" w:rsidRPr="00486C6E" w:rsidRDefault="00486C6E" w:rsidP="00663FE8">
      <w:pPr>
        <w:rPr>
          <w:rFonts w:ascii="Arial" w:hAnsi="Arial" w:cs="Arial"/>
          <w:color w:val="272B35" w:themeColor="text1"/>
        </w:rPr>
      </w:pPr>
    </w:p>
    <w:p w14:paraId="09667F5E" w14:textId="397F14B3" w:rsidR="00211BDA" w:rsidRPr="00486C6E" w:rsidRDefault="00BA7278" w:rsidP="00663FE8">
      <w:pPr>
        <w:rPr>
          <w:rFonts w:ascii="Arial" w:hAnsi="Arial" w:cs="Arial"/>
          <w:color w:val="272B35" w:themeColor="text1"/>
        </w:rPr>
      </w:pPr>
      <w:r>
        <w:rPr>
          <w:rFonts w:ascii="Arial" w:hAnsi="Arial"/>
          <w:color w:val="272B35" w:themeColor="text1"/>
        </w:rPr>
        <w:t>Contacts :</w:t>
      </w:r>
    </w:p>
    <w:p w14:paraId="3BBE09BA" w14:textId="77777777" w:rsidR="00ED6A87" w:rsidRPr="00894CC1" w:rsidRDefault="00ED6A87" w:rsidP="00ED6A87">
      <w:pPr>
        <w:spacing w:after="0"/>
        <w:rPr>
          <w:rFonts w:ascii="Arial" w:hAnsi="Arial" w:cs="Arial"/>
          <w:b/>
          <w:bCs/>
          <w:szCs w:val="20"/>
        </w:rPr>
      </w:pPr>
      <w:r>
        <w:rPr>
          <w:rFonts w:ascii="Arial" w:hAnsi="Arial"/>
          <w:b/>
        </w:rPr>
        <w:t>Stellantis</w:t>
      </w:r>
    </w:p>
    <w:p w14:paraId="0487EAEF" w14:textId="77777777" w:rsidR="00ED6A87" w:rsidRPr="00894CC1" w:rsidRDefault="00ED6A87" w:rsidP="00ED6A87">
      <w:pPr>
        <w:spacing w:after="0"/>
        <w:rPr>
          <w:rFonts w:ascii="Arial" w:hAnsi="Arial" w:cs="Arial"/>
          <w:szCs w:val="20"/>
        </w:rPr>
      </w:pPr>
    </w:p>
    <w:p w14:paraId="6D4C7570" w14:textId="77777777" w:rsidR="00ED6A87" w:rsidRPr="00894CC1" w:rsidRDefault="00ED6A87" w:rsidP="00ED6A87">
      <w:pPr>
        <w:tabs>
          <w:tab w:val="left" w:pos="2592"/>
        </w:tabs>
        <w:spacing w:after="0"/>
        <w:rPr>
          <w:rFonts w:ascii="Arial" w:eastAsia="Arial" w:hAnsi="Arial" w:cs="Arial"/>
          <w:b/>
          <w:bCs/>
          <w:szCs w:val="20"/>
        </w:rPr>
      </w:pPr>
      <w:proofErr w:type="spellStart"/>
      <w:r>
        <w:rPr>
          <w:rFonts w:ascii="Arial" w:hAnsi="Arial"/>
          <w:b/>
        </w:rPr>
        <w:t>Fernão</w:t>
      </w:r>
      <w:proofErr w:type="spellEnd"/>
      <w:r>
        <w:rPr>
          <w:rFonts w:ascii="Arial" w:hAnsi="Arial"/>
          <w:b/>
        </w:rPr>
        <w:t xml:space="preserve"> Silveira </w:t>
      </w:r>
    </w:p>
    <w:p w14:paraId="294246BF" w14:textId="77777777" w:rsidR="00ED6A87" w:rsidRPr="00255F70" w:rsidRDefault="00ED6A87" w:rsidP="00ED6A87">
      <w:pPr>
        <w:tabs>
          <w:tab w:val="left" w:pos="2592"/>
        </w:tabs>
        <w:spacing w:after="0"/>
        <w:rPr>
          <w:rFonts w:ascii="Arial" w:eastAsia="Arial" w:hAnsi="Arial" w:cs="Arial"/>
          <w:szCs w:val="20"/>
          <w:lang w:val="en-US"/>
        </w:rPr>
      </w:pPr>
      <w:r w:rsidRPr="00255F70">
        <w:rPr>
          <w:rFonts w:ascii="Arial" w:hAnsi="Arial"/>
          <w:lang w:val="en-US"/>
        </w:rPr>
        <w:t>Global Communications / Stellantis</w:t>
      </w:r>
    </w:p>
    <w:p w14:paraId="6EA0C701" w14:textId="77777777" w:rsidR="00ED6A87" w:rsidRPr="00255F70" w:rsidRDefault="00ED6A87" w:rsidP="00ED6A87">
      <w:pPr>
        <w:tabs>
          <w:tab w:val="left" w:pos="2592"/>
        </w:tabs>
        <w:spacing w:after="0"/>
        <w:rPr>
          <w:rFonts w:ascii="Arial" w:eastAsia="Arial" w:hAnsi="Arial" w:cs="Arial"/>
          <w:szCs w:val="20"/>
          <w:lang w:val="en-US"/>
        </w:rPr>
      </w:pPr>
      <w:r w:rsidRPr="00255F70">
        <w:rPr>
          <w:rFonts w:ascii="Arial" w:hAnsi="Arial"/>
          <w:lang w:val="en-US"/>
        </w:rPr>
        <w:t xml:space="preserve">fernao.silveira@stellantis.com </w:t>
      </w:r>
    </w:p>
    <w:p w14:paraId="28FF655B" w14:textId="77777777" w:rsidR="00ED6A87" w:rsidRPr="00255F70" w:rsidRDefault="00ED6A87" w:rsidP="00ED6A87">
      <w:pPr>
        <w:tabs>
          <w:tab w:val="left" w:pos="2592"/>
        </w:tabs>
        <w:spacing w:after="0"/>
        <w:rPr>
          <w:rFonts w:ascii="Arial" w:eastAsia="Arial" w:hAnsi="Arial" w:cs="Arial"/>
          <w:szCs w:val="20"/>
          <w:lang w:val="en-US"/>
        </w:rPr>
      </w:pPr>
      <w:r w:rsidRPr="00255F70">
        <w:rPr>
          <w:rFonts w:ascii="Arial" w:hAnsi="Arial"/>
          <w:lang w:val="en-US"/>
        </w:rPr>
        <w:t>+31 6 43 25 43 41</w:t>
      </w:r>
    </w:p>
    <w:p w14:paraId="68E00E6D" w14:textId="77777777" w:rsidR="00ED6A87" w:rsidRPr="00255F70" w:rsidRDefault="00ED6A87" w:rsidP="00ED6A87">
      <w:pPr>
        <w:tabs>
          <w:tab w:val="left" w:pos="2592"/>
        </w:tabs>
        <w:spacing w:after="0"/>
        <w:rPr>
          <w:rFonts w:ascii="Arial" w:eastAsia="Arial" w:hAnsi="Arial" w:cs="Arial"/>
          <w:szCs w:val="20"/>
          <w:lang w:val="en-US"/>
        </w:rPr>
      </w:pPr>
    </w:p>
    <w:p w14:paraId="7696588A" w14:textId="77777777" w:rsidR="00ED6A87" w:rsidRPr="00255F70" w:rsidRDefault="00ED6A87" w:rsidP="00ED6A87">
      <w:pPr>
        <w:tabs>
          <w:tab w:val="left" w:pos="2592"/>
        </w:tabs>
        <w:spacing w:after="0"/>
        <w:rPr>
          <w:rFonts w:ascii="Arial" w:eastAsia="Arial" w:hAnsi="Arial" w:cs="Arial"/>
          <w:b/>
          <w:bCs/>
          <w:szCs w:val="20"/>
          <w:lang w:val="en-US"/>
        </w:rPr>
      </w:pPr>
      <w:r w:rsidRPr="00255F70">
        <w:rPr>
          <w:rFonts w:ascii="Arial" w:hAnsi="Arial"/>
          <w:b/>
          <w:lang w:val="en-US"/>
        </w:rPr>
        <w:t>Shawn Morgan</w:t>
      </w:r>
    </w:p>
    <w:p w14:paraId="00CFAA63" w14:textId="77777777" w:rsidR="00ED6A87" w:rsidRPr="00255F70" w:rsidRDefault="00ED6A87" w:rsidP="00ED6A87">
      <w:pPr>
        <w:tabs>
          <w:tab w:val="left" w:pos="2592"/>
        </w:tabs>
        <w:spacing w:after="0"/>
        <w:rPr>
          <w:rFonts w:ascii="Arial" w:eastAsia="Arial" w:hAnsi="Arial" w:cs="Arial"/>
          <w:szCs w:val="20"/>
          <w:lang w:val="en-US"/>
        </w:rPr>
      </w:pPr>
      <w:r w:rsidRPr="00255F70">
        <w:rPr>
          <w:rFonts w:ascii="Arial" w:hAnsi="Arial"/>
          <w:lang w:val="en-US"/>
        </w:rPr>
        <w:t>North America Communications / Stellantis</w:t>
      </w:r>
    </w:p>
    <w:p w14:paraId="39C83C02" w14:textId="77777777" w:rsidR="00ED6A87" w:rsidRPr="00255F70" w:rsidRDefault="00ED6A87" w:rsidP="00ED6A87">
      <w:pPr>
        <w:tabs>
          <w:tab w:val="left" w:pos="2592"/>
        </w:tabs>
        <w:spacing w:after="0"/>
        <w:rPr>
          <w:rFonts w:ascii="Arial" w:eastAsia="Arial" w:hAnsi="Arial" w:cs="Arial"/>
          <w:szCs w:val="20"/>
          <w:lang w:val="en-US"/>
        </w:rPr>
      </w:pPr>
      <w:r w:rsidRPr="00255F70">
        <w:rPr>
          <w:rFonts w:ascii="Arial" w:hAnsi="Arial"/>
          <w:lang w:val="en-US"/>
        </w:rPr>
        <w:t>shawn.morgan@stellantis.com</w:t>
      </w:r>
    </w:p>
    <w:p w14:paraId="51B2DA5D" w14:textId="77777777" w:rsidR="00ED6A87" w:rsidRPr="00255F70" w:rsidRDefault="00ED6A87" w:rsidP="00ED6A87">
      <w:pPr>
        <w:tabs>
          <w:tab w:val="left" w:pos="2592"/>
        </w:tabs>
        <w:spacing w:after="0"/>
        <w:rPr>
          <w:rFonts w:ascii="Arial" w:eastAsia="Arial" w:hAnsi="Arial" w:cs="Arial"/>
          <w:szCs w:val="20"/>
          <w:lang w:val="en-US"/>
        </w:rPr>
      </w:pPr>
      <w:r w:rsidRPr="00255F70">
        <w:rPr>
          <w:rFonts w:ascii="Arial" w:hAnsi="Arial"/>
          <w:lang w:val="en-US"/>
        </w:rPr>
        <w:t>+1 (248) 760-2621</w:t>
      </w:r>
    </w:p>
    <w:p w14:paraId="55700B95" w14:textId="00BEA19A" w:rsidR="00ED6A87" w:rsidRPr="00255F70" w:rsidRDefault="00ED6A87" w:rsidP="00ED6A87">
      <w:pPr>
        <w:spacing w:after="160" w:line="256" w:lineRule="auto"/>
        <w:rPr>
          <w:rFonts w:ascii="Arial" w:eastAsia="Arial" w:hAnsi="Arial" w:cs="Arial"/>
          <w:b/>
          <w:bCs/>
          <w:szCs w:val="20"/>
          <w:lang w:val="en-US"/>
        </w:rPr>
      </w:pPr>
    </w:p>
    <w:p w14:paraId="324F3FCA" w14:textId="77777777" w:rsidR="00C919C8" w:rsidRPr="00255F70" w:rsidRDefault="00BA7278" w:rsidP="00663FE8">
      <w:pPr>
        <w:rPr>
          <w:rFonts w:ascii="Arial" w:hAnsi="Arial" w:cs="Arial"/>
          <w:b/>
          <w:bCs/>
          <w:lang w:val="en-US"/>
        </w:rPr>
      </w:pPr>
      <w:bookmarkStart w:id="3" w:name="_Hlk104885869"/>
      <w:r w:rsidRPr="00255F70">
        <w:rPr>
          <w:rFonts w:ascii="Arial" w:hAnsi="Arial"/>
          <w:b/>
          <w:lang w:val="en-US"/>
        </w:rPr>
        <w:t xml:space="preserve">Controlled Thermal Resources </w:t>
      </w:r>
    </w:p>
    <w:p w14:paraId="71676F59" w14:textId="7F45C2CD" w:rsidR="00206526" w:rsidRPr="00255F70" w:rsidRDefault="00BA7278" w:rsidP="00894CC1">
      <w:pPr>
        <w:spacing w:after="0"/>
        <w:rPr>
          <w:rFonts w:ascii="Arial" w:hAnsi="Arial" w:cs="Arial"/>
          <w:lang w:val="en-US"/>
        </w:rPr>
      </w:pPr>
      <w:r w:rsidRPr="00255F70">
        <w:rPr>
          <w:rFonts w:ascii="Arial" w:hAnsi="Arial"/>
          <w:lang w:val="en-US"/>
        </w:rPr>
        <w:t>Lauren Rose</w:t>
      </w:r>
    </w:p>
    <w:p w14:paraId="2827ABEF" w14:textId="64327880" w:rsidR="00206526" w:rsidRPr="00255F70" w:rsidRDefault="00486C6E" w:rsidP="00894CC1">
      <w:pPr>
        <w:spacing w:after="0"/>
        <w:rPr>
          <w:rFonts w:ascii="Arial" w:hAnsi="Arial" w:cs="Arial"/>
          <w:lang w:val="en-US"/>
        </w:rPr>
      </w:pPr>
      <w:r w:rsidRPr="00255F70">
        <w:rPr>
          <w:rFonts w:ascii="Arial" w:hAnsi="Arial"/>
          <w:lang w:val="en-US"/>
        </w:rPr>
        <w:t xml:space="preserve">Director, Marketing and Communications </w:t>
      </w:r>
    </w:p>
    <w:p w14:paraId="14FBBA61" w14:textId="651416EE" w:rsidR="00206526" w:rsidRPr="006A390B" w:rsidRDefault="00BA7278" w:rsidP="00894CC1">
      <w:pPr>
        <w:spacing w:after="0"/>
        <w:rPr>
          <w:rFonts w:ascii="Arial" w:hAnsi="Arial" w:cs="Arial"/>
        </w:rPr>
      </w:pPr>
      <w:r>
        <w:rPr>
          <w:rFonts w:ascii="Arial" w:hAnsi="Arial"/>
        </w:rPr>
        <w:t>lauren.rose@cthermal.com</w:t>
      </w:r>
    </w:p>
    <w:p w14:paraId="340D9FA5" w14:textId="4AEA861F" w:rsidR="00914E09" w:rsidRPr="006A390B" w:rsidRDefault="00BA7278" w:rsidP="00894CC1">
      <w:pPr>
        <w:spacing w:after="0"/>
        <w:rPr>
          <w:rFonts w:ascii="Arial" w:hAnsi="Arial" w:cs="Arial"/>
        </w:rPr>
      </w:pPr>
      <w:r>
        <w:rPr>
          <w:rFonts w:ascii="Arial" w:hAnsi="Arial"/>
        </w:rPr>
        <w:t>+61 438 123 177</w:t>
      </w:r>
      <w:bookmarkEnd w:id="3"/>
    </w:p>
    <w:p w14:paraId="7CBAE06F" w14:textId="77777777" w:rsidR="00B92542" w:rsidRDefault="00B92542">
      <w:pPr>
        <w:rPr>
          <w:rFonts w:ascii="Arial" w:hAnsi="Arial" w:cs="Arial"/>
          <w:b/>
          <w:bCs/>
        </w:rPr>
      </w:pPr>
      <w:r>
        <w:br w:type="page"/>
      </w:r>
    </w:p>
    <w:p w14:paraId="68CC4625" w14:textId="5C5D2755" w:rsidR="00B92542" w:rsidRPr="00894CC1" w:rsidRDefault="00B92542" w:rsidP="00B92542">
      <w:pPr>
        <w:rPr>
          <w:rFonts w:ascii="Arial" w:hAnsi="Arial" w:cs="Arial"/>
          <w:b/>
          <w:bCs/>
          <w:sz w:val="20"/>
          <w:szCs w:val="20"/>
        </w:rPr>
      </w:pPr>
      <w:r>
        <w:rPr>
          <w:rFonts w:ascii="Arial" w:hAnsi="Arial"/>
          <w:b/>
          <w:sz w:val="20"/>
        </w:rPr>
        <w:lastRenderedPageBreak/>
        <w:t>DÉCLARATIONS PROSPECTIVES DE STELLANTIS</w:t>
      </w:r>
    </w:p>
    <w:p w14:paraId="7FABF7B1" w14:textId="77777777" w:rsidR="00B92542" w:rsidRPr="00894CC1" w:rsidRDefault="00B92542" w:rsidP="00B92542">
      <w:pPr>
        <w:rPr>
          <w:rFonts w:ascii="Arial" w:hAnsi="Arial" w:cs="Arial"/>
          <w:sz w:val="20"/>
          <w:szCs w:val="20"/>
        </w:rPr>
      </w:pPr>
      <w:r>
        <w:rPr>
          <w:rFonts w:ascii="Arial" w:hAnsi="Arial"/>
          <w:sz w:val="20"/>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sz w:val="20"/>
        </w:rPr>
        <w:t>suite à</w:t>
      </w:r>
      <w:proofErr w:type="gramEnd"/>
      <w:r>
        <w:rPr>
          <w:rFonts w:ascii="Arial" w:hAnsi="Arial"/>
          <w:sz w:val="20"/>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w:t>
      </w:r>
      <w:proofErr w:type="gramStart"/>
      <w:r>
        <w:rPr>
          <w:rFonts w:ascii="Arial" w:hAnsi="Arial"/>
          <w:sz w:val="20"/>
        </w:rPr>
        <w:t>de par</w:t>
      </w:r>
      <w:proofErr w:type="gramEnd"/>
      <w:r>
        <w:rPr>
          <w:rFonts w:ascii="Arial" w:hAnsi="Arial"/>
          <w:sz w:val="20"/>
        </w:rPr>
        <w:t xml:space="preserve">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034A43FB" w14:textId="779EBAE5" w:rsidR="00B92542" w:rsidRPr="00894CC1" w:rsidRDefault="00B92542" w:rsidP="00B92542">
      <w:pPr>
        <w:rPr>
          <w:rFonts w:ascii="Arial" w:hAnsi="Arial" w:cs="Arial"/>
          <w:sz w:val="20"/>
          <w:szCs w:val="20"/>
        </w:rPr>
      </w:pPr>
      <w:r>
        <w:rPr>
          <w:rFonts w:ascii="Arial" w:hAnsi="Arial"/>
          <w:sz w:val="20"/>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5D67444A" w14:textId="0F467AED" w:rsidR="00D90200" w:rsidRPr="00894CC1" w:rsidRDefault="00B92542" w:rsidP="00663FE8">
      <w:pPr>
        <w:rPr>
          <w:rFonts w:ascii="Arial" w:hAnsi="Arial" w:cs="Arial"/>
          <w:sz w:val="20"/>
          <w:szCs w:val="20"/>
        </w:rPr>
      </w:pPr>
      <w:r>
        <w:rPr>
          <w:rFonts w:ascii="Arial" w:hAnsi="Arial"/>
          <w:sz w:val="20"/>
        </w:rPr>
        <w:t xml:space="preserve">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w:t>
      </w:r>
      <w:r>
        <w:rPr>
          <w:rFonts w:ascii="Arial" w:hAnsi="Arial"/>
          <w:sz w:val="20"/>
        </w:rPr>
        <w:lastRenderedPageBreak/>
        <w:t>facteurs susceptibles d’impacter de manière significative les résultats financiers de Stellantis, sont incluses dans les rapports et dossiers de Stellantis déposés auprès de l’U.S. Securities and Exchange Commission et de l’AFM.</w:t>
      </w:r>
    </w:p>
    <w:sectPr w:rsidR="00D90200" w:rsidRPr="00894CC1" w:rsidSect="00A154B4">
      <w:headerReference w:type="default" r:id="rId12"/>
      <w:footerReference w:type="default" r:id="rId13"/>
      <w:headerReference w:type="first" r:id="rId14"/>
      <w:pgSz w:w="12242" w:h="15842"/>
      <w:pgMar w:top="1440" w:right="1440" w:bottom="1440" w:left="1440"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4909" w14:textId="77777777" w:rsidR="000432B3" w:rsidRDefault="000432B3">
      <w:pPr>
        <w:spacing w:after="0"/>
      </w:pPr>
      <w:r>
        <w:separator/>
      </w:r>
    </w:p>
  </w:endnote>
  <w:endnote w:type="continuationSeparator" w:id="0">
    <w:p w14:paraId="284B004C" w14:textId="77777777" w:rsidR="000432B3" w:rsidRDefault="000432B3">
      <w:pPr>
        <w:spacing w:after="0"/>
      </w:pPr>
      <w:r>
        <w:continuationSeparator/>
      </w:r>
    </w:p>
  </w:endnote>
  <w:endnote w:type="continuationNotice" w:id="1">
    <w:p w14:paraId="0D6D1B7F" w14:textId="77777777" w:rsidR="000432B3" w:rsidRDefault="000432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Expanded">
    <w:altName w:val="Times New Roman"/>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DD51" w14:textId="77777777" w:rsidR="000432B3" w:rsidRDefault="000432B3">
      <w:pPr>
        <w:spacing w:after="0"/>
      </w:pPr>
      <w:r>
        <w:separator/>
      </w:r>
    </w:p>
  </w:footnote>
  <w:footnote w:type="continuationSeparator" w:id="0">
    <w:p w14:paraId="133726CF" w14:textId="77777777" w:rsidR="000432B3" w:rsidRDefault="000432B3">
      <w:pPr>
        <w:spacing w:after="0"/>
      </w:pPr>
      <w:r>
        <w:continuationSeparator/>
      </w:r>
    </w:p>
  </w:footnote>
  <w:footnote w:type="continuationNotice" w:id="1">
    <w:p w14:paraId="1EECE9EF" w14:textId="77777777" w:rsidR="000432B3" w:rsidRDefault="000432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E3CC" w14:textId="77777777" w:rsidR="008139F3" w:rsidRDefault="0081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188FB1C3" w:rsidR="00D90200" w:rsidRDefault="00BA7278">
    <w:pPr>
      <w:pBdr>
        <w:top w:val="nil"/>
        <w:left w:val="nil"/>
        <w:bottom w:val="nil"/>
        <w:right w:val="nil"/>
        <w:between w:val="nil"/>
      </w:pBdr>
      <w:tabs>
        <w:tab w:val="left" w:pos="6096"/>
      </w:tabs>
      <w:jc w:val="left"/>
      <w:rPr>
        <w:color w:val="243782"/>
      </w:rPr>
    </w:pPr>
    <w:r>
      <w:rPr>
        <w:noProof/>
        <w:color w:val="243782"/>
      </w:rPr>
      <w:drawing>
        <wp:anchor distT="0" distB="0" distL="114300" distR="114300" simplePos="0" relativeHeight="251659264" behindDoc="0" locked="0" layoutInCell="1" allowOverlap="1" wp14:anchorId="7C832CCA" wp14:editId="4F5A2C9B">
          <wp:simplePos x="0" y="0"/>
          <wp:positionH relativeFrom="margin">
            <wp:posOffset>3429635</wp:posOffset>
          </wp:positionH>
          <wp:positionV relativeFrom="paragraph">
            <wp:posOffset>-224155</wp:posOffset>
          </wp:positionV>
          <wp:extent cx="1617980" cy="571500"/>
          <wp:effectExtent l="0" t="0" r="1270" b="0"/>
          <wp:wrapNone/>
          <wp:docPr id="2" name="Immagin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17980" cy="571500"/>
                  </a:xfrm>
                  <a:prstGeom prst="rect">
                    <a:avLst/>
                  </a:prstGeom>
                </pic:spPr>
              </pic:pic>
            </a:graphicData>
          </a:graphic>
          <wp14:sizeRelH relativeFrom="margin">
            <wp14:pctWidth>0</wp14:pctWidth>
          </wp14:sizeRelH>
          <wp14:sizeRelV relativeFrom="margin">
            <wp14:pctHeight>0</wp14:pctHeight>
          </wp14:sizeRelV>
        </wp:anchor>
      </w:drawing>
    </w:r>
    <w:r>
      <w:rPr>
        <w:noProof/>
        <w:color w:val="243782"/>
      </w:rPr>
      <w:drawing>
        <wp:anchor distT="0" distB="0" distL="114300" distR="114300" simplePos="0" relativeHeight="251658240" behindDoc="0" locked="0" layoutInCell="1" allowOverlap="1" wp14:anchorId="516E0D73" wp14:editId="0606D823">
          <wp:simplePos x="0" y="0"/>
          <wp:positionH relativeFrom="margin">
            <wp:posOffset>303530</wp:posOffset>
          </wp:positionH>
          <wp:positionV relativeFrom="paragraph">
            <wp:posOffset>-262572</wp:posOffset>
          </wp:positionV>
          <wp:extent cx="2650490" cy="680720"/>
          <wp:effectExtent l="0" t="0" r="0" b="5080"/>
          <wp:wrapNone/>
          <wp:docPr id="3" name="Immagin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650490" cy="680720"/>
                  </a:xfrm>
                  <a:prstGeom prst="rect">
                    <a:avLst/>
                  </a:prstGeom>
                </pic:spPr>
              </pic:pic>
            </a:graphicData>
          </a:graphic>
        </wp:anchor>
      </w:drawing>
    </w:r>
    <w:r>
      <w:rPr>
        <w:color w:val="24378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8D1A69"/>
    <w:multiLevelType w:val="hybridMultilevel"/>
    <w:tmpl w:val="ADCE42BA"/>
    <w:lvl w:ilvl="0" w:tplc="100E4AD8">
      <w:start w:val="1"/>
      <w:numFmt w:val="bullet"/>
      <w:lvlText w:val=""/>
      <w:lvlJc w:val="left"/>
      <w:pPr>
        <w:ind w:left="720" w:hanging="360"/>
      </w:pPr>
      <w:rPr>
        <w:rFonts w:ascii="Symbol" w:hAnsi="Symbol" w:hint="default"/>
      </w:rPr>
    </w:lvl>
    <w:lvl w:ilvl="1" w:tplc="C454570E" w:tentative="1">
      <w:start w:val="1"/>
      <w:numFmt w:val="bullet"/>
      <w:lvlText w:val="o"/>
      <w:lvlJc w:val="left"/>
      <w:pPr>
        <w:ind w:left="1440" w:hanging="360"/>
      </w:pPr>
      <w:rPr>
        <w:rFonts w:ascii="Courier New" w:hAnsi="Courier New" w:cs="Courier New" w:hint="default"/>
      </w:rPr>
    </w:lvl>
    <w:lvl w:ilvl="2" w:tplc="3D929C30" w:tentative="1">
      <w:start w:val="1"/>
      <w:numFmt w:val="bullet"/>
      <w:lvlText w:val=""/>
      <w:lvlJc w:val="left"/>
      <w:pPr>
        <w:ind w:left="2160" w:hanging="360"/>
      </w:pPr>
      <w:rPr>
        <w:rFonts w:ascii="Wingdings" w:hAnsi="Wingdings" w:hint="default"/>
      </w:rPr>
    </w:lvl>
    <w:lvl w:ilvl="3" w:tplc="5FCED8C8" w:tentative="1">
      <w:start w:val="1"/>
      <w:numFmt w:val="bullet"/>
      <w:lvlText w:val=""/>
      <w:lvlJc w:val="left"/>
      <w:pPr>
        <w:ind w:left="2880" w:hanging="360"/>
      </w:pPr>
      <w:rPr>
        <w:rFonts w:ascii="Symbol" w:hAnsi="Symbol" w:hint="default"/>
      </w:rPr>
    </w:lvl>
    <w:lvl w:ilvl="4" w:tplc="2C1442D4" w:tentative="1">
      <w:start w:val="1"/>
      <w:numFmt w:val="bullet"/>
      <w:lvlText w:val="o"/>
      <w:lvlJc w:val="left"/>
      <w:pPr>
        <w:ind w:left="3600" w:hanging="360"/>
      </w:pPr>
      <w:rPr>
        <w:rFonts w:ascii="Courier New" w:hAnsi="Courier New" w:cs="Courier New" w:hint="default"/>
      </w:rPr>
    </w:lvl>
    <w:lvl w:ilvl="5" w:tplc="23EEE138" w:tentative="1">
      <w:start w:val="1"/>
      <w:numFmt w:val="bullet"/>
      <w:lvlText w:val=""/>
      <w:lvlJc w:val="left"/>
      <w:pPr>
        <w:ind w:left="4320" w:hanging="360"/>
      </w:pPr>
      <w:rPr>
        <w:rFonts w:ascii="Wingdings" w:hAnsi="Wingdings" w:hint="default"/>
      </w:rPr>
    </w:lvl>
    <w:lvl w:ilvl="6" w:tplc="C4242DD4" w:tentative="1">
      <w:start w:val="1"/>
      <w:numFmt w:val="bullet"/>
      <w:lvlText w:val=""/>
      <w:lvlJc w:val="left"/>
      <w:pPr>
        <w:ind w:left="5040" w:hanging="360"/>
      </w:pPr>
      <w:rPr>
        <w:rFonts w:ascii="Symbol" w:hAnsi="Symbol" w:hint="default"/>
      </w:rPr>
    </w:lvl>
    <w:lvl w:ilvl="7" w:tplc="A76A016C" w:tentative="1">
      <w:start w:val="1"/>
      <w:numFmt w:val="bullet"/>
      <w:lvlText w:val="o"/>
      <w:lvlJc w:val="left"/>
      <w:pPr>
        <w:ind w:left="5760" w:hanging="360"/>
      </w:pPr>
      <w:rPr>
        <w:rFonts w:ascii="Courier New" w:hAnsi="Courier New" w:cs="Courier New" w:hint="default"/>
      </w:rPr>
    </w:lvl>
    <w:lvl w:ilvl="8" w:tplc="FE92CB0E" w:tentative="1">
      <w:start w:val="1"/>
      <w:numFmt w:val="bullet"/>
      <w:lvlText w:val=""/>
      <w:lvlJc w:val="left"/>
      <w:pPr>
        <w:ind w:left="6480" w:hanging="360"/>
      </w:pPr>
      <w:rPr>
        <w:rFonts w:ascii="Wingdings" w:hAnsi="Wingdings" w:hint="default"/>
      </w:rPr>
    </w:lvl>
  </w:abstractNum>
  <w:abstractNum w:abstractNumId="3" w15:restartNumberingAfterBreak="0">
    <w:nsid w:val="7BC63BD7"/>
    <w:multiLevelType w:val="hybridMultilevel"/>
    <w:tmpl w:val="67C4583C"/>
    <w:lvl w:ilvl="0" w:tplc="A5C60F9C">
      <w:start w:val="1"/>
      <w:numFmt w:val="bullet"/>
      <w:lvlText w:val=""/>
      <w:lvlJc w:val="left"/>
      <w:pPr>
        <w:ind w:left="720" w:hanging="360"/>
      </w:pPr>
      <w:rPr>
        <w:rFonts w:ascii="Wingdings" w:hAnsi="Wingdings" w:hint="default"/>
      </w:rPr>
    </w:lvl>
    <w:lvl w:ilvl="1" w:tplc="4FD897A6">
      <w:start w:val="1"/>
      <w:numFmt w:val="bullet"/>
      <w:lvlText w:val="o"/>
      <w:lvlJc w:val="left"/>
      <w:pPr>
        <w:ind w:left="1440" w:hanging="360"/>
      </w:pPr>
      <w:rPr>
        <w:rFonts w:ascii="Courier New" w:hAnsi="Courier New" w:cs="Courier New" w:hint="default"/>
      </w:rPr>
    </w:lvl>
    <w:lvl w:ilvl="2" w:tplc="3356DDEA">
      <w:start w:val="1"/>
      <w:numFmt w:val="bullet"/>
      <w:lvlText w:val=""/>
      <w:lvlJc w:val="left"/>
      <w:pPr>
        <w:ind w:left="2160" w:hanging="360"/>
      </w:pPr>
      <w:rPr>
        <w:rFonts w:ascii="Wingdings" w:hAnsi="Wingdings" w:hint="default"/>
      </w:rPr>
    </w:lvl>
    <w:lvl w:ilvl="3" w:tplc="1A72FB68">
      <w:start w:val="1"/>
      <w:numFmt w:val="bullet"/>
      <w:lvlText w:val=""/>
      <w:lvlJc w:val="left"/>
      <w:pPr>
        <w:ind w:left="2880" w:hanging="360"/>
      </w:pPr>
      <w:rPr>
        <w:rFonts w:ascii="Symbol" w:hAnsi="Symbol" w:hint="default"/>
      </w:rPr>
    </w:lvl>
    <w:lvl w:ilvl="4" w:tplc="494439A4">
      <w:start w:val="1"/>
      <w:numFmt w:val="bullet"/>
      <w:lvlText w:val="o"/>
      <w:lvlJc w:val="left"/>
      <w:pPr>
        <w:ind w:left="3600" w:hanging="360"/>
      </w:pPr>
      <w:rPr>
        <w:rFonts w:ascii="Courier New" w:hAnsi="Courier New" w:cs="Courier New" w:hint="default"/>
      </w:rPr>
    </w:lvl>
    <w:lvl w:ilvl="5" w:tplc="D1403A02">
      <w:start w:val="1"/>
      <w:numFmt w:val="bullet"/>
      <w:lvlText w:val=""/>
      <w:lvlJc w:val="left"/>
      <w:pPr>
        <w:ind w:left="4320" w:hanging="360"/>
      </w:pPr>
      <w:rPr>
        <w:rFonts w:ascii="Wingdings" w:hAnsi="Wingdings" w:hint="default"/>
      </w:rPr>
    </w:lvl>
    <w:lvl w:ilvl="6" w:tplc="AD808DB6">
      <w:start w:val="1"/>
      <w:numFmt w:val="bullet"/>
      <w:lvlText w:val=""/>
      <w:lvlJc w:val="left"/>
      <w:pPr>
        <w:ind w:left="5040" w:hanging="360"/>
      </w:pPr>
      <w:rPr>
        <w:rFonts w:ascii="Symbol" w:hAnsi="Symbol" w:hint="default"/>
      </w:rPr>
    </w:lvl>
    <w:lvl w:ilvl="7" w:tplc="27B801D8">
      <w:start w:val="1"/>
      <w:numFmt w:val="bullet"/>
      <w:lvlText w:val="o"/>
      <w:lvlJc w:val="left"/>
      <w:pPr>
        <w:ind w:left="5760" w:hanging="360"/>
      </w:pPr>
      <w:rPr>
        <w:rFonts w:ascii="Courier New" w:hAnsi="Courier New" w:cs="Courier New" w:hint="default"/>
      </w:rPr>
    </w:lvl>
    <w:lvl w:ilvl="8" w:tplc="03D0BE38">
      <w:start w:val="1"/>
      <w:numFmt w:val="bullet"/>
      <w:lvlText w:val=""/>
      <w:lvlJc w:val="left"/>
      <w:pPr>
        <w:ind w:left="6480" w:hanging="360"/>
      </w:pPr>
      <w:rPr>
        <w:rFonts w:ascii="Wingdings" w:hAnsi="Wingdings" w:hint="default"/>
      </w:rPr>
    </w:lvl>
  </w:abstractNum>
  <w:num w:numId="1" w16cid:durableId="256136628">
    <w:abstractNumId w:val="0"/>
  </w:num>
  <w:num w:numId="2" w16cid:durableId="143204128">
    <w:abstractNumId w:val="1"/>
  </w:num>
  <w:num w:numId="3" w16cid:durableId="1128550638">
    <w:abstractNumId w:val="3"/>
  </w:num>
  <w:num w:numId="4" w16cid:durableId="126825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3D0D"/>
    <w:rsid w:val="000068B8"/>
    <w:rsid w:val="000079C0"/>
    <w:rsid w:val="00012144"/>
    <w:rsid w:val="000127F3"/>
    <w:rsid w:val="00035645"/>
    <w:rsid w:val="000375EA"/>
    <w:rsid w:val="000403C6"/>
    <w:rsid w:val="000432B3"/>
    <w:rsid w:val="000455C7"/>
    <w:rsid w:val="000507C7"/>
    <w:rsid w:val="00056FDB"/>
    <w:rsid w:val="00060906"/>
    <w:rsid w:val="00062596"/>
    <w:rsid w:val="0006441F"/>
    <w:rsid w:val="0007500F"/>
    <w:rsid w:val="0008112B"/>
    <w:rsid w:val="00084BEF"/>
    <w:rsid w:val="0008536B"/>
    <w:rsid w:val="00095AF3"/>
    <w:rsid w:val="000A55F2"/>
    <w:rsid w:val="000A64E4"/>
    <w:rsid w:val="000B0968"/>
    <w:rsid w:val="000B20D4"/>
    <w:rsid w:val="000B2E42"/>
    <w:rsid w:val="000B3A66"/>
    <w:rsid w:val="000B7DB0"/>
    <w:rsid w:val="000C04E0"/>
    <w:rsid w:val="000C5A52"/>
    <w:rsid w:val="000D0AC3"/>
    <w:rsid w:val="000D35F5"/>
    <w:rsid w:val="000D57D0"/>
    <w:rsid w:val="000D7AFD"/>
    <w:rsid w:val="000E1FB6"/>
    <w:rsid w:val="000E50C0"/>
    <w:rsid w:val="000E71F0"/>
    <w:rsid w:val="00100E33"/>
    <w:rsid w:val="00107718"/>
    <w:rsid w:val="00113A41"/>
    <w:rsid w:val="001144AC"/>
    <w:rsid w:val="00120B8D"/>
    <w:rsid w:val="0012107E"/>
    <w:rsid w:val="001222C7"/>
    <w:rsid w:val="00123307"/>
    <w:rsid w:val="00125BCA"/>
    <w:rsid w:val="00131912"/>
    <w:rsid w:val="00137496"/>
    <w:rsid w:val="00141B9D"/>
    <w:rsid w:val="00143A80"/>
    <w:rsid w:val="00146A52"/>
    <w:rsid w:val="0014767B"/>
    <w:rsid w:val="001505C8"/>
    <w:rsid w:val="001506C6"/>
    <w:rsid w:val="00150E2D"/>
    <w:rsid w:val="00153797"/>
    <w:rsid w:val="00162B39"/>
    <w:rsid w:val="001660DE"/>
    <w:rsid w:val="0016717D"/>
    <w:rsid w:val="001722EA"/>
    <w:rsid w:val="00176F78"/>
    <w:rsid w:val="00180558"/>
    <w:rsid w:val="00182E93"/>
    <w:rsid w:val="001870E3"/>
    <w:rsid w:val="0019386E"/>
    <w:rsid w:val="0019432C"/>
    <w:rsid w:val="00194B9C"/>
    <w:rsid w:val="0019508F"/>
    <w:rsid w:val="00195133"/>
    <w:rsid w:val="001A14C2"/>
    <w:rsid w:val="001A1BED"/>
    <w:rsid w:val="001A1ECC"/>
    <w:rsid w:val="001A3B61"/>
    <w:rsid w:val="001A5181"/>
    <w:rsid w:val="001B2E0F"/>
    <w:rsid w:val="001B7F90"/>
    <w:rsid w:val="001C1D40"/>
    <w:rsid w:val="001C4780"/>
    <w:rsid w:val="001C56C6"/>
    <w:rsid w:val="001D0373"/>
    <w:rsid w:val="001D0751"/>
    <w:rsid w:val="001D0758"/>
    <w:rsid w:val="001D10B3"/>
    <w:rsid w:val="001D5799"/>
    <w:rsid w:val="001D5E70"/>
    <w:rsid w:val="001D6609"/>
    <w:rsid w:val="001E018B"/>
    <w:rsid w:val="001E145E"/>
    <w:rsid w:val="001E3411"/>
    <w:rsid w:val="001F4500"/>
    <w:rsid w:val="00201E0D"/>
    <w:rsid w:val="00202659"/>
    <w:rsid w:val="00206526"/>
    <w:rsid w:val="002074AC"/>
    <w:rsid w:val="00211AFD"/>
    <w:rsid w:val="00211BDA"/>
    <w:rsid w:val="002134F6"/>
    <w:rsid w:val="00213551"/>
    <w:rsid w:val="00214934"/>
    <w:rsid w:val="002166A4"/>
    <w:rsid w:val="002224B3"/>
    <w:rsid w:val="002232A1"/>
    <w:rsid w:val="00223444"/>
    <w:rsid w:val="00223A69"/>
    <w:rsid w:val="00225B8A"/>
    <w:rsid w:val="00230E45"/>
    <w:rsid w:val="00234DC8"/>
    <w:rsid w:val="00235C91"/>
    <w:rsid w:val="00244293"/>
    <w:rsid w:val="00245CAD"/>
    <w:rsid w:val="00247709"/>
    <w:rsid w:val="00250FEA"/>
    <w:rsid w:val="0025513C"/>
    <w:rsid w:val="00255F70"/>
    <w:rsid w:val="0026334F"/>
    <w:rsid w:val="00263CA4"/>
    <w:rsid w:val="002664A8"/>
    <w:rsid w:val="00271CF1"/>
    <w:rsid w:val="00272F63"/>
    <w:rsid w:val="002754F5"/>
    <w:rsid w:val="0028624D"/>
    <w:rsid w:val="0028692C"/>
    <w:rsid w:val="00292B68"/>
    <w:rsid w:val="00295665"/>
    <w:rsid w:val="002A1618"/>
    <w:rsid w:val="002A3411"/>
    <w:rsid w:val="002B3A34"/>
    <w:rsid w:val="002B542E"/>
    <w:rsid w:val="002B72BF"/>
    <w:rsid w:val="002C5741"/>
    <w:rsid w:val="002C77BE"/>
    <w:rsid w:val="002D0FD5"/>
    <w:rsid w:val="002D1AD4"/>
    <w:rsid w:val="002D1E9D"/>
    <w:rsid w:val="002D43AD"/>
    <w:rsid w:val="002D67E6"/>
    <w:rsid w:val="002D6E8E"/>
    <w:rsid w:val="002D6FDA"/>
    <w:rsid w:val="002E1735"/>
    <w:rsid w:val="002E21DE"/>
    <w:rsid w:val="002E5E2F"/>
    <w:rsid w:val="002E765E"/>
    <w:rsid w:val="002E7B89"/>
    <w:rsid w:val="002F34D6"/>
    <w:rsid w:val="00302C96"/>
    <w:rsid w:val="003062BC"/>
    <w:rsid w:val="003068AA"/>
    <w:rsid w:val="00306BC9"/>
    <w:rsid w:val="0031268A"/>
    <w:rsid w:val="00312A37"/>
    <w:rsid w:val="003133C8"/>
    <w:rsid w:val="00322620"/>
    <w:rsid w:val="00323D11"/>
    <w:rsid w:val="003324CA"/>
    <w:rsid w:val="00335136"/>
    <w:rsid w:val="00340880"/>
    <w:rsid w:val="00340CE6"/>
    <w:rsid w:val="00341CF8"/>
    <w:rsid w:val="00354A28"/>
    <w:rsid w:val="00360C20"/>
    <w:rsid w:val="003659E2"/>
    <w:rsid w:val="00371BA5"/>
    <w:rsid w:val="00374F28"/>
    <w:rsid w:val="0037579C"/>
    <w:rsid w:val="00380C84"/>
    <w:rsid w:val="00395000"/>
    <w:rsid w:val="003A3B67"/>
    <w:rsid w:val="003B0F3B"/>
    <w:rsid w:val="003B31A2"/>
    <w:rsid w:val="003B334B"/>
    <w:rsid w:val="003B3D61"/>
    <w:rsid w:val="003C0EBE"/>
    <w:rsid w:val="003C1F77"/>
    <w:rsid w:val="003D0D0B"/>
    <w:rsid w:val="003D11E8"/>
    <w:rsid w:val="003D21DF"/>
    <w:rsid w:val="003D406C"/>
    <w:rsid w:val="003E229B"/>
    <w:rsid w:val="003E2B47"/>
    <w:rsid w:val="003E50C6"/>
    <w:rsid w:val="00400AE9"/>
    <w:rsid w:val="00406896"/>
    <w:rsid w:val="0040737D"/>
    <w:rsid w:val="00412E10"/>
    <w:rsid w:val="00415D18"/>
    <w:rsid w:val="00416266"/>
    <w:rsid w:val="00416589"/>
    <w:rsid w:val="004173CD"/>
    <w:rsid w:val="00422B39"/>
    <w:rsid w:val="0042438E"/>
    <w:rsid w:val="004259CA"/>
    <w:rsid w:val="00436A3A"/>
    <w:rsid w:val="00443B55"/>
    <w:rsid w:val="0045663B"/>
    <w:rsid w:val="0046050D"/>
    <w:rsid w:val="00474382"/>
    <w:rsid w:val="004743F4"/>
    <w:rsid w:val="00475E40"/>
    <w:rsid w:val="0047609D"/>
    <w:rsid w:val="00476EE3"/>
    <w:rsid w:val="00482848"/>
    <w:rsid w:val="00486C6E"/>
    <w:rsid w:val="00490D65"/>
    <w:rsid w:val="00491FCC"/>
    <w:rsid w:val="00492DDE"/>
    <w:rsid w:val="00494A84"/>
    <w:rsid w:val="004952E9"/>
    <w:rsid w:val="004A0C7D"/>
    <w:rsid w:val="004A3C32"/>
    <w:rsid w:val="004A5391"/>
    <w:rsid w:val="004A7204"/>
    <w:rsid w:val="004B63D3"/>
    <w:rsid w:val="004B6B90"/>
    <w:rsid w:val="004C1A93"/>
    <w:rsid w:val="004C37B7"/>
    <w:rsid w:val="004C48ED"/>
    <w:rsid w:val="004D51A7"/>
    <w:rsid w:val="004E299C"/>
    <w:rsid w:val="004F0A2C"/>
    <w:rsid w:val="004F2150"/>
    <w:rsid w:val="004F3BE9"/>
    <w:rsid w:val="004F7329"/>
    <w:rsid w:val="004F7719"/>
    <w:rsid w:val="005073F1"/>
    <w:rsid w:val="005117F7"/>
    <w:rsid w:val="00512922"/>
    <w:rsid w:val="0051345F"/>
    <w:rsid w:val="00516057"/>
    <w:rsid w:val="00517AE9"/>
    <w:rsid w:val="00523870"/>
    <w:rsid w:val="00525A51"/>
    <w:rsid w:val="00547AF9"/>
    <w:rsid w:val="0055203F"/>
    <w:rsid w:val="005550B4"/>
    <w:rsid w:val="0055767E"/>
    <w:rsid w:val="00572D4A"/>
    <w:rsid w:val="005813DB"/>
    <w:rsid w:val="0058367F"/>
    <w:rsid w:val="005857CA"/>
    <w:rsid w:val="0059348A"/>
    <w:rsid w:val="005969AF"/>
    <w:rsid w:val="005A0941"/>
    <w:rsid w:val="005A5BEE"/>
    <w:rsid w:val="005B04D5"/>
    <w:rsid w:val="005B06CE"/>
    <w:rsid w:val="005C0B50"/>
    <w:rsid w:val="005C6089"/>
    <w:rsid w:val="005E2F5B"/>
    <w:rsid w:val="005E3964"/>
    <w:rsid w:val="005E4EB5"/>
    <w:rsid w:val="005F2291"/>
    <w:rsid w:val="005F36E6"/>
    <w:rsid w:val="005F49E0"/>
    <w:rsid w:val="00603F18"/>
    <w:rsid w:val="006108AD"/>
    <w:rsid w:val="00617667"/>
    <w:rsid w:val="0061766E"/>
    <w:rsid w:val="00625C11"/>
    <w:rsid w:val="006262D2"/>
    <w:rsid w:val="00631BCB"/>
    <w:rsid w:val="0063537F"/>
    <w:rsid w:val="00635D01"/>
    <w:rsid w:val="00643FF2"/>
    <w:rsid w:val="00645DC7"/>
    <w:rsid w:val="006464FF"/>
    <w:rsid w:val="00647996"/>
    <w:rsid w:val="00647A15"/>
    <w:rsid w:val="0065014B"/>
    <w:rsid w:val="00660339"/>
    <w:rsid w:val="006616BE"/>
    <w:rsid w:val="0066332F"/>
    <w:rsid w:val="00663FE8"/>
    <w:rsid w:val="00666FAA"/>
    <w:rsid w:val="006762BE"/>
    <w:rsid w:val="00676CAF"/>
    <w:rsid w:val="00677506"/>
    <w:rsid w:val="00680D18"/>
    <w:rsid w:val="006812E9"/>
    <w:rsid w:val="00682185"/>
    <w:rsid w:val="006863D0"/>
    <w:rsid w:val="00687AD4"/>
    <w:rsid w:val="00693280"/>
    <w:rsid w:val="00693659"/>
    <w:rsid w:val="00696A1D"/>
    <w:rsid w:val="00696AE3"/>
    <w:rsid w:val="006A390B"/>
    <w:rsid w:val="006A4FC3"/>
    <w:rsid w:val="006B0CEC"/>
    <w:rsid w:val="006B16C0"/>
    <w:rsid w:val="006B2EB2"/>
    <w:rsid w:val="006B5B15"/>
    <w:rsid w:val="006C21F1"/>
    <w:rsid w:val="006C46BC"/>
    <w:rsid w:val="006C5D5C"/>
    <w:rsid w:val="006D13B3"/>
    <w:rsid w:val="006D413F"/>
    <w:rsid w:val="006D79A3"/>
    <w:rsid w:val="006F0388"/>
    <w:rsid w:val="006F37B5"/>
    <w:rsid w:val="006F3A85"/>
    <w:rsid w:val="00702915"/>
    <w:rsid w:val="0070355F"/>
    <w:rsid w:val="00704931"/>
    <w:rsid w:val="0071156E"/>
    <w:rsid w:val="007135DA"/>
    <w:rsid w:val="0071381F"/>
    <w:rsid w:val="0071540B"/>
    <w:rsid w:val="00715CB2"/>
    <w:rsid w:val="0072255D"/>
    <w:rsid w:val="00726D0E"/>
    <w:rsid w:val="00733F68"/>
    <w:rsid w:val="00735741"/>
    <w:rsid w:val="00737055"/>
    <w:rsid w:val="007376E7"/>
    <w:rsid w:val="00737DBD"/>
    <w:rsid w:val="00740BF9"/>
    <w:rsid w:val="0075010A"/>
    <w:rsid w:val="00750515"/>
    <w:rsid w:val="00752AD3"/>
    <w:rsid w:val="00753612"/>
    <w:rsid w:val="00754E34"/>
    <w:rsid w:val="007556AC"/>
    <w:rsid w:val="00761054"/>
    <w:rsid w:val="0076578D"/>
    <w:rsid w:val="00766016"/>
    <w:rsid w:val="007663E9"/>
    <w:rsid w:val="00767C3B"/>
    <w:rsid w:val="00773630"/>
    <w:rsid w:val="00786615"/>
    <w:rsid w:val="00793EE5"/>
    <w:rsid w:val="007A17A2"/>
    <w:rsid w:val="007A2294"/>
    <w:rsid w:val="007A3320"/>
    <w:rsid w:val="007C64AB"/>
    <w:rsid w:val="007D70F5"/>
    <w:rsid w:val="007E1FCF"/>
    <w:rsid w:val="007E1FE7"/>
    <w:rsid w:val="007F0624"/>
    <w:rsid w:val="007F2693"/>
    <w:rsid w:val="007F30E2"/>
    <w:rsid w:val="007F3550"/>
    <w:rsid w:val="007F5993"/>
    <w:rsid w:val="007F758B"/>
    <w:rsid w:val="008018C5"/>
    <w:rsid w:val="00801FCF"/>
    <w:rsid w:val="00802CE7"/>
    <w:rsid w:val="00807770"/>
    <w:rsid w:val="0081148B"/>
    <w:rsid w:val="008139F3"/>
    <w:rsid w:val="008170F0"/>
    <w:rsid w:val="0082060C"/>
    <w:rsid w:val="00820AAB"/>
    <w:rsid w:val="008235B7"/>
    <w:rsid w:val="00827763"/>
    <w:rsid w:val="00837A76"/>
    <w:rsid w:val="00841261"/>
    <w:rsid w:val="00850FB4"/>
    <w:rsid w:val="008516C3"/>
    <w:rsid w:val="008535C7"/>
    <w:rsid w:val="0085683D"/>
    <w:rsid w:val="00857E87"/>
    <w:rsid w:val="00864D9E"/>
    <w:rsid w:val="008711F6"/>
    <w:rsid w:val="00872596"/>
    <w:rsid w:val="0087322C"/>
    <w:rsid w:val="00881C03"/>
    <w:rsid w:val="008918C6"/>
    <w:rsid w:val="00892F59"/>
    <w:rsid w:val="00894CC1"/>
    <w:rsid w:val="00896E06"/>
    <w:rsid w:val="008977FE"/>
    <w:rsid w:val="008A0E8A"/>
    <w:rsid w:val="008A4D9F"/>
    <w:rsid w:val="008A79FF"/>
    <w:rsid w:val="008B0A0F"/>
    <w:rsid w:val="008B1946"/>
    <w:rsid w:val="008B2973"/>
    <w:rsid w:val="008B7714"/>
    <w:rsid w:val="008C0301"/>
    <w:rsid w:val="008C5B71"/>
    <w:rsid w:val="008D26D0"/>
    <w:rsid w:val="008D50B9"/>
    <w:rsid w:val="008D697C"/>
    <w:rsid w:val="008E4C18"/>
    <w:rsid w:val="008E56ED"/>
    <w:rsid w:val="008F080C"/>
    <w:rsid w:val="008F171B"/>
    <w:rsid w:val="008F1B1E"/>
    <w:rsid w:val="008F31DD"/>
    <w:rsid w:val="00902ED0"/>
    <w:rsid w:val="00903BCD"/>
    <w:rsid w:val="00907495"/>
    <w:rsid w:val="00907DED"/>
    <w:rsid w:val="00914738"/>
    <w:rsid w:val="00914E09"/>
    <w:rsid w:val="009177FB"/>
    <w:rsid w:val="00920ECB"/>
    <w:rsid w:val="0092367C"/>
    <w:rsid w:val="00925DB9"/>
    <w:rsid w:val="00927455"/>
    <w:rsid w:val="00980D9E"/>
    <w:rsid w:val="00982265"/>
    <w:rsid w:val="00991B50"/>
    <w:rsid w:val="009957EE"/>
    <w:rsid w:val="00995E7D"/>
    <w:rsid w:val="00996F9C"/>
    <w:rsid w:val="0099793C"/>
    <w:rsid w:val="009A163A"/>
    <w:rsid w:val="009A2719"/>
    <w:rsid w:val="009A3770"/>
    <w:rsid w:val="009A7C54"/>
    <w:rsid w:val="009B2260"/>
    <w:rsid w:val="009B3485"/>
    <w:rsid w:val="009B590D"/>
    <w:rsid w:val="009B6444"/>
    <w:rsid w:val="009C39C6"/>
    <w:rsid w:val="009D083B"/>
    <w:rsid w:val="009D2326"/>
    <w:rsid w:val="009D5DC6"/>
    <w:rsid w:val="009D6197"/>
    <w:rsid w:val="009D782E"/>
    <w:rsid w:val="009D7C90"/>
    <w:rsid w:val="009D7CB7"/>
    <w:rsid w:val="009E496D"/>
    <w:rsid w:val="009E4B94"/>
    <w:rsid w:val="009F4681"/>
    <w:rsid w:val="009F62F5"/>
    <w:rsid w:val="00A01968"/>
    <w:rsid w:val="00A0350A"/>
    <w:rsid w:val="00A03FA3"/>
    <w:rsid w:val="00A11846"/>
    <w:rsid w:val="00A138A7"/>
    <w:rsid w:val="00A154B4"/>
    <w:rsid w:val="00A237F3"/>
    <w:rsid w:val="00A3231A"/>
    <w:rsid w:val="00A324C2"/>
    <w:rsid w:val="00A36542"/>
    <w:rsid w:val="00A3709B"/>
    <w:rsid w:val="00A373FD"/>
    <w:rsid w:val="00A539CF"/>
    <w:rsid w:val="00A5565D"/>
    <w:rsid w:val="00A576E4"/>
    <w:rsid w:val="00A62353"/>
    <w:rsid w:val="00A65BBB"/>
    <w:rsid w:val="00A65EC8"/>
    <w:rsid w:val="00A66139"/>
    <w:rsid w:val="00A72232"/>
    <w:rsid w:val="00A759EC"/>
    <w:rsid w:val="00A82F57"/>
    <w:rsid w:val="00A90229"/>
    <w:rsid w:val="00A906F0"/>
    <w:rsid w:val="00A93076"/>
    <w:rsid w:val="00A94592"/>
    <w:rsid w:val="00A961FA"/>
    <w:rsid w:val="00A9686E"/>
    <w:rsid w:val="00A976CF"/>
    <w:rsid w:val="00AB390C"/>
    <w:rsid w:val="00AB5189"/>
    <w:rsid w:val="00AB63E5"/>
    <w:rsid w:val="00AB7EB1"/>
    <w:rsid w:val="00AC18A4"/>
    <w:rsid w:val="00AC1A44"/>
    <w:rsid w:val="00AC239E"/>
    <w:rsid w:val="00AD416C"/>
    <w:rsid w:val="00AD7B3D"/>
    <w:rsid w:val="00AE2CCD"/>
    <w:rsid w:val="00AE7175"/>
    <w:rsid w:val="00AF0E77"/>
    <w:rsid w:val="00AF46F0"/>
    <w:rsid w:val="00AF57C0"/>
    <w:rsid w:val="00B01F69"/>
    <w:rsid w:val="00B039D8"/>
    <w:rsid w:val="00B13B3F"/>
    <w:rsid w:val="00B14724"/>
    <w:rsid w:val="00B17366"/>
    <w:rsid w:val="00B2038C"/>
    <w:rsid w:val="00B22F8F"/>
    <w:rsid w:val="00B27345"/>
    <w:rsid w:val="00B31E73"/>
    <w:rsid w:val="00B32705"/>
    <w:rsid w:val="00B32900"/>
    <w:rsid w:val="00B343B2"/>
    <w:rsid w:val="00B40008"/>
    <w:rsid w:val="00B444D5"/>
    <w:rsid w:val="00B46A84"/>
    <w:rsid w:val="00B4762E"/>
    <w:rsid w:val="00B536DF"/>
    <w:rsid w:val="00B54574"/>
    <w:rsid w:val="00B55AA2"/>
    <w:rsid w:val="00B57822"/>
    <w:rsid w:val="00B5794A"/>
    <w:rsid w:val="00B6394E"/>
    <w:rsid w:val="00B70D0A"/>
    <w:rsid w:val="00B72E65"/>
    <w:rsid w:val="00B85918"/>
    <w:rsid w:val="00B901C8"/>
    <w:rsid w:val="00B92542"/>
    <w:rsid w:val="00B97AEB"/>
    <w:rsid w:val="00BA4B25"/>
    <w:rsid w:val="00BA7278"/>
    <w:rsid w:val="00BB091A"/>
    <w:rsid w:val="00BB10F0"/>
    <w:rsid w:val="00BB3C1A"/>
    <w:rsid w:val="00BB6270"/>
    <w:rsid w:val="00BC0A5F"/>
    <w:rsid w:val="00BC15ED"/>
    <w:rsid w:val="00BC4685"/>
    <w:rsid w:val="00BD031E"/>
    <w:rsid w:val="00BD67A3"/>
    <w:rsid w:val="00BD74C3"/>
    <w:rsid w:val="00BE126A"/>
    <w:rsid w:val="00BE75A5"/>
    <w:rsid w:val="00BF5D56"/>
    <w:rsid w:val="00BF7DEE"/>
    <w:rsid w:val="00C00E9B"/>
    <w:rsid w:val="00C03DBC"/>
    <w:rsid w:val="00C04227"/>
    <w:rsid w:val="00C2783C"/>
    <w:rsid w:val="00C31CCD"/>
    <w:rsid w:val="00C334EF"/>
    <w:rsid w:val="00C351B5"/>
    <w:rsid w:val="00C35C89"/>
    <w:rsid w:val="00C415DC"/>
    <w:rsid w:val="00C42C0B"/>
    <w:rsid w:val="00C42EC0"/>
    <w:rsid w:val="00C520FA"/>
    <w:rsid w:val="00C5690A"/>
    <w:rsid w:val="00C61D37"/>
    <w:rsid w:val="00C66004"/>
    <w:rsid w:val="00C73DA0"/>
    <w:rsid w:val="00C75584"/>
    <w:rsid w:val="00C76C4E"/>
    <w:rsid w:val="00C82429"/>
    <w:rsid w:val="00C85CA7"/>
    <w:rsid w:val="00C8696E"/>
    <w:rsid w:val="00C919C8"/>
    <w:rsid w:val="00C9341B"/>
    <w:rsid w:val="00CA0F4C"/>
    <w:rsid w:val="00CA11B9"/>
    <w:rsid w:val="00CA3AFC"/>
    <w:rsid w:val="00CA420F"/>
    <w:rsid w:val="00CA4FE2"/>
    <w:rsid w:val="00CA53EC"/>
    <w:rsid w:val="00CA70D6"/>
    <w:rsid w:val="00CB19A5"/>
    <w:rsid w:val="00CC15FE"/>
    <w:rsid w:val="00CC25B4"/>
    <w:rsid w:val="00CC3250"/>
    <w:rsid w:val="00CC3A22"/>
    <w:rsid w:val="00CC4B7F"/>
    <w:rsid w:val="00CC5C47"/>
    <w:rsid w:val="00CC6528"/>
    <w:rsid w:val="00CC6C0F"/>
    <w:rsid w:val="00CC7758"/>
    <w:rsid w:val="00CD0897"/>
    <w:rsid w:val="00CD2E43"/>
    <w:rsid w:val="00CD319D"/>
    <w:rsid w:val="00CD7971"/>
    <w:rsid w:val="00CE5ECE"/>
    <w:rsid w:val="00CF2033"/>
    <w:rsid w:val="00CF3EA3"/>
    <w:rsid w:val="00CF6838"/>
    <w:rsid w:val="00CF798C"/>
    <w:rsid w:val="00D019D7"/>
    <w:rsid w:val="00D029C3"/>
    <w:rsid w:val="00D04A7F"/>
    <w:rsid w:val="00D139B2"/>
    <w:rsid w:val="00D15D8F"/>
    <w:rsid w:val="00D251AF"/>
    <w:rsid w:val="00D2547A"/>
    <w:rsid w:val="00D3065D"/>
    <w:rsid w:val="00D3455C"/>
    <w:rsid w:val="00D37344"/>
    <w:rsid w:val="00D37E43"/>
    <w:rsid w:val="00D40E54"/>
    <w:rsid w:val="00D412B7"/>
    <w:rsid w:val="00D457A1"/>
    <w:rsid w:val="00D55484"/>
    <w:rsid w:val="00D55A79"/>
    <w:rsid w:val="00D56D97"/>
    <w:rsid w:val="00D63B12"/>
    <w:rsid w:val="00D709B3"/>
    <w:rsid w:val="00D71669"/>
    <w:rsid w:val="00D818C9"/>
    <w:rsid w:val="00D82BE3"/>
    <w:rsid w:val="00D85BE2"/>
    <w:rsid w:val="00D876EC"/>
    <w:rsid w:val="00D90200"/>
    <w:rsid w:val="00D97182"/>
    <w:rsid w:val="00DA06CE"/>
    <w:rsid w:val="00DA2C1E"/>
    <w:rsid w:val="00DA5F2F"/>
    <w:rsid w:val="00DB1E8C"/>
    <w:rsid w:val="00DB3D9E"/>
    <w:rsid w:val="00DB4956"/>
    <w:rsid w:val="00DB7F49"/>
    <w:rsid w:val="00DC4048"/>
    <w:rsid w:val="00DD299D"/>
    <w:rsid w:val="00DE0A7E"/>
    <w:rsid w:val="00DE122A"/>
    <w:rsid w:val="00DE2329"/>
    <w:rsid w:val="00DF1778"/>
    <w:rsid w:val="00DF61C4"/>
    <w:rsid w:val="00DF6CE7"/>
    <w:rsid w:val="00E01DC5"/>
    <w:rsid w:val="00E0590C"/>
    <w:rsid w:val="00E07E4F"/>
    <w:rsid w:val="00E11EDF"/>
    <w:rsid w:val="00E129A7"/>
    <w:rsid w:val="00E13473"/>
    <w:rsid w:val="00E15211"/>
    <w:rsid w:val="00E169F2"/>
    <w:rsid w:val="00E35BB2"/>
    <w:rsid w:val="00E36F4A"/>
    <w:rsid w:val="00E43DD4"/>
    <w:rsid w:val="00E56C6E"/>
    <w:rsid w:val="00E61FD3"/>
    <w:rsid w:val="00E653B0"/>
    <w:rsid w:val="00E669FB"/>
    <w:rsid w:val="00E72572"/>
    <w:rsid w:val="00E73C5B"/>
    <w:rsid w:val="00E759EE"/>
    <w:rsid w:val="00E76235"/>
    <w:rsid w:val="00E76CD2"/>
    <w:rsid w:val="00E853D7"/>
    <w:rsid w:val="00E91BE6"/>
    <w:rsid w:val="00E94236"/>
    <w:rsid w:val="00E94BD2"/>
    <w:rsid w:val="00E97FB7"/>
    <w:rsid w:val="00EA368C"/>
    <w:rsid w:val="00EB18DA"/>
    <w:rsid w:val="00EB4418"/>
    <w:rsid w:val="00EB4BD8"/>
    <w:rsid w:val="00EC0C9B"/>
    <w:rsid w:val="00EC3003"/>
    <w:rsid w:val="00EC46E6"/>
    <w:rsid w:val="00EC4B96"/>
    <w:rsid w:val="00ED1BCF"/>
    <w:rsid w:val="00ED6A87"/>
    <w:rsid w:val="00ED75A3"/>
    <w:rsid w:val="00EE0C5E"/>
    <w:rsid w:val="00EE3906"/>
    <w:rsid w:val="00EE484A"/>
    <w:rsid w:val="00EE702D"/>
    <w:rsid w:val="00EE7CC7"/>
    <w:rsid w:val="00EF0086"/>
    <w:rsid w:val="00EF0351"/>
    <w:rsid w:val="00F04BAC"/>
    <w:rsid w:val="00F05378"/>
    <w:rsid w:val="00F07979"/>
    <w:rsid w:val="00F12977"/>
    <w:rsid w:val="00F21934"/>
    <w:rsid w:val="00F35263"/>
    <w:rsid w:val="00F36085"/>
    <w:rsid w:val="00F36A94"/>
    <w:rsid w:val="00F36F85"/>
    <w:rsid w:val="00F37564"/>
    <w:rsid w:val="00F37C32"/>
    <w:rsid w:val="00F455C0"/>
    <w:rsid w:val="00F45D3D"/>
    <w:rsid w:val="00F520D7"/>
    <w:rsid w:val="00F52C23"/>
    <w:rsid w:val="00F5359D"/>
    <w:rsid w:val="00F55FA4"/>
    <w:rsid w:val="00F6131A"/>
    <w:rsid w:val="00F624C1"/>
    <w:rsid w:val="00F62C02"/>
    <w:rsid w:val="00F66213"/>
    <w:rsid w:val="00F6777A"/>
    <w:rsid w:val="00F72EB4"/>
    <w:rsid w:val="00F75BDD"/>
    <w:rsid w:val="00F76B60"/>
    <w:rsid w:val="00F76C4A"/>
    <w:rsid w:val="00F77D35"/>
    <w:rsid w:val="00F80718"/>
    <w:rsid w:val="00F84CD1"/>
    <w:rsid w:val="00F9493A"/>
    <w:rsid w:val="00FA1FD4"/>
    <w:rsid w:val="00FB424E"/>
    <w:rsid w:val="00FB58AF"/>
    <w:rsid w:val="00FB64F9"/>
    <w:rsid w:val="00FB7ECC"/>
    <w:rsid w:val="00FC0E63"/>
    <w:rsid w:val="00FC683F"/>
    <w:rsid w:val="00FD0F61"/>
    <w:rsid w:val="00FD2BF9"/>
    <w:rsid w:val="00FD3E67"/>
    <w:rsid w:val="00FD7C0A"/>
    <w:rsid w:val="00FE2429"/>
    <w:rsid w:val="00FE2441"/>
    <w:rsid w:val="00FF0ABD"/>
    <w:rsid w:val="00FF4A24"/>
    <w:rsid w:val="00FF784A"/>
    <w:rsid w:val="0BBA7246"/>
    <w:rsid w:val="1B622337"/>
    <w:rsid w:val="2AD03993"/>
    <w:rsid w:val="35769294"/>
    <w:rsid w:val="40BE5954"/>
    <w:rsid w:val="415D8C67"/>
    <w:rsid w:val="42F95CC8"/>
    <w:rsid w:val="46D49E25"/>
    <w:rsid w:val="616BE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1232E791626D42A4209D08785B3EB2" ma:contentTypeVersion="10" ma:contentTypeDescription="Create a new document." ma:contentTypeScope="" ma:versionID="d694f9228558fe537cd3104b7819eff4">
  <xsd:schema xmlns:xsd="http://www.w3.org/2001/XMLSchema" xmlns:xs="http://www.w3.org/2001/XMLSchema" xmlns:p="http://schemas.microsoft.com/office/2006/metadata/properties" xmlns:ns3="ed291038-68af-44f8-9ebf-8e02159c5ab4" xmlns:ns4="07ab2334-74fa-4654-9f51-48ec6318f44c" targetNamespace="http://schemas.microsoft.com/office/2006/metadata/properties" ma:root="true" ma:fieldsID="d68cb19a36c0d559fb5d4b029ee2bb4e" ns3:_="" ns4:_="">
    <xsd:import namespace="ed291038-68af-44f8-9ebf-8e02159c5ab4"/>
    <xsd:import namespace="07ab2334-74fa-4654-9f51-48ec6318f4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1038-68af-44f8-9ebf-8e02159c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2334-74fa-4654-9f51-48ec6318f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9966D5-1E9A-4F75-A709-47669068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91038-68af-44f8-9ebf-8e02159c5ab4"/>
    <ds:schemaRef ds:uri="07ab2334-74fa-4654-9f51-48ec6318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D9E67-E9AB-41C9-A428-35E0A2710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1858</Words>
  <Characters>10597</Characters>
  <Application>Microsoft Office Word</Application>
  <DocSecurity>0</DocSecurity>
  <Lines>88</Lines>
  <Paragraphs>24</Paragraphs>
  <ScaleCrop>false</ScaleCrop>
  <Company>FCA US</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Paul Johnston</cp:lastModifiedBy>
  <cp:revision>3</cp:revision>
  <dcterms:created xsi:type="dcterms:W3CDTF">2023-08-17T07:16:00Z</dcterms:created>
  <dcterms:modified xsi:type="dcterms:W3CDTF">2023-08-17T08:08:00Z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ontentTypeId">
    <vt:lpwstr>0x010100EF1232E791626D42A4209D08785B3EB2</vt:lpwstr>
  </property>
  <property fmtid="{D5CDD505-2E9C-101B-9397-08002B2CF9AE}" pid="4" name="TitusGUID">
    <vt:lpwstr>4537060a-daa4-433a-a193-48bb8b8e280a</vt:lpwstr>
  </property>
  <property fmtid="{D5CDD505-2E9C-101B-9397-08002B2CF9AE}" pid="5" name="MSIP_Label_2fd53d93-3f4c-4b90-b511-bd6bdbb4fba9_Enabled">
    <vt:lpwstr>true</vt:lpwstr>
  </property>
  <property fmtid="{D5CDD505-2E9C-101B-9397-08002B2CF9AE}" pid="6" name="MSIP_Label_2fd53d93-3f4c-4b90-b511-bd6bdbb4fba9_SetDate">
    <vt:lpwstr>2023-08-16T07:17:49Z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e7d25f00-17a0-4505-b4fd-89781eca0bb3</vt:lpwstr>
  </property>
  <property fmtid="{D5CDD505-2E9C-101B-9397-08002B2CF9AE}" pid="11" name="MSIP_Label_2fd53d93-3f4c-4b90-b511-bd6bdbb4fba9_ContentBits">
    <vt:lpwstr>0</vt:lpwstr>
  </property>
</Properties>
</file>