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B2AD" w14:textId="77777777" w:rsidR="0058020B" w:rsidRDefault="0058020B">
      <w:pPr>
        <w:pBdr>
          <w:top w:val="nil"/>
          <w:left w:val="nil"/>
          <w:bottom w:val="nil"/>
          <w:right w:val="nil"/>
          <w:between w:val="nil"/>
        </w:pBdr>
        <w:spacing w:after="480"/>
        <w:jc w:val="center"/>
        <w:rPr>
          <w:rFonts w:ascii="Arial" w:eastAsia="Arial" w:hAnsi="Arial" w:cs="Arial"/>
          <w:b/>
          <w:color w:val="000000"/>
          <w:sz w:val="28"/>
          <w:szCs w:val="28"/>
        </w:rPr>
      </w:pPr>
    </w:p>
    <w:p w14:paraId="48DB2639" w14:textId="75203F42" w:rsidR="00D90200" w:rsidRPr="00E241A7" w:rsidRDefault="00DA44D2">
      <w:pPr>
        <w:pBdr>
          <w:top w:val="nil"/>
          <w:left w:val="nil"/>
          <w:bottom w:val="nil"/>
          <w:right w:val="nil"/>
          <w:between w:val="nil"/>
        </w:pBdr>
        <w:spacing w:after="480"/>
        <w:jc w:val="center"/>
        <w:rPr>
          <w:rFonts w:ascii="Arial" w:eastAsia="Arial" w:hAnsi="Arial" w:cs="Arial"/>
          <w:b/>
          <w:color w:val="000000"/>
          <w:sz w:val="28"/>
          <w:szCs w:val="28"/>
        </w:rPr>
      </w:pPr>
      <w:r w:rsidRPr="00E241A7">
        <w:rPr>
          <w:rFonts w:ascii="Arial" w:eastAsia="Arial" w:hAnsi="Arial" w:cs="Arial"/>
          <w:b/>
          <w:color w:val="000000"/>
          <w:sz w:val="28"/>
          <w:szCs w:val="28"/>
        </w:rPr>
        <w:t xml:space="preserve">Stellantis Signs </w:t>
      </w:r>
      <w:r w:rsidR="00594BD8" w:rsidRPr="00E241A7">
        <w:rPr>
          <w:rFonts w:ascii="Arial" w:eastAsia="Arial" w:hAnsi="Arial" w:cs="Arial"/>
          <w:b/>
          <w:color w:val="000000"/>
          <w:sz w:val="28"/>
          <w:szCs w:val="28"/>
        </w:rPr>
        <w:t>Offtake Agreement</w:t>
      </w:r>
      <w:r w:rsidR="00E46862" w:rsidRPr="00E241A7">
        <w:rPr>
          <w:rFonts w:ascii="Arial" w:eastAsia="Arial" w:hAnsi="Arial" w:cs="Arial"/>
          <w:b/>
          <w:color w:val="000000"/>
          <w:sz w:val="28"/>
          <w:szCs w:val="28"/>
        </w:rPr>
        <w:t xml:space="preserve"> </w:t>
      </w:r>
      <w:r w:rsidR="00B61CF3" w:rsidRPr="00E241A7">
        <w:rPr>
          <w:rFonts w:ascii="Arial" w:eastAsia="Arial" w:hAnsi="Arial" w:cs="Arial"/>
          <w:b/>
          <w:color w:val="000000"/>
          <w:sz w:val="28"/>
          <w:szCs w:val="28"/>
        </w:rPr>
        <w:t>a</w:t>
      </w:r>
      <w:r w:rsidR="00E46862" w:rsidRPr="00E241A7">
        <w:rPr>
          <w:rFonts w:ascii="Arial" w:eastAsia="Arial" w:hAnsi="Arial" w:cs="Arial"/>
          <w:b/>
          <w:color w:val="000000"/>
          <w:sz w:val="28"/>
          <w:szCs w:val="28"/>
        </w:rPr>
        <w:t>nd</w:t>
      </w:r>
      <w:r w:rsidR="00594BD8" w:rsidRPr="00E241A7">
        <w:rPr>
          <w:rFonts w:ascii="Arial" w:eastAsia="Arial" w:hAnsi="Arial" w:cs="Arial"/>
          <w:b/>
          <w:color w:val="000000"/>
          <w:sz w:val="28"/>
          <w:szCs w:val="28"/>
        </w:rPr>
        <w:t xml:space="preserve"> Invests </w:t>
      </w:r>
      <w:r w:rsidR="007D2596">
        <w:rPr>
          <w:rFonts w:ascii="Arial" w:eastAsia="Arial" w:hAnsi="Arial" w:cs="Arial"/>
          <w:b/>
          <w:color w:val="000000"/>
          <w:sz w:val="28"/>
          <w:szCs w:val="28"/>
        </w:rPr>
        <w:t>i</w:t>
      </w:r>
      <w:r w:rsidR="00594BD8" w:rsidRPr="00E241A7">
        <w:rPr>
          <w:rFonts w:ascii="Arial" w:eastAsia="Arial" w:hAnsi="Arial" w:cs="Arial"/>
          <w:b/>
          <w:color w:val="000000"/>
          <w:sz w:val="28"/>
          <w:szCs w:val="28"/>
        </w:rPr>
        <w:t>n Alliance Nickel</w:t>
      </w:r>
      <w:r w:rsidR="00096BB8" w:rsidRPr="00E241A7">
        <w:rPr>
          <w:rFonts w:ascii="Arial" w:eastAsia="Arial" w:hAnsi="Arial" w:cs="Arial"/>
          <w:b/>
          <w:color w:val="000000"/>
          <w:sz w:val="28"/>
          <w:szCs w:val="28"/>
        </w:rPr>
        <w:t xml:space="preserve"> </w:t>
      </w:r>
      <w:r w:rsidR="004977D2" w:rsidRPr="00E241A7">
        <w:rPr>
          <w:rFonts w:ascii="Arial" w:eastAsia="Arial" w:hAnsi="Arial" w:cs="Arial"/>
          <w:b/>
          <w:color w:val="000000"/>
          <w:sz w:val="28"/>
          <w:szCs w:val="28"/>
        </w:rPr>
        <w:t>for</w:t>
      </w:r>
      <w:r w:rsidR="00594BD8" w:rsidRPr="00E241A7">
        <w:rPr>
          <w:rFonts w:ascii="Arial" w:eastAsia="Arial" w:hAnsi="Arial" w:cs="Arial"/>
          <w:b/>
          <w:color w:val="000000"/>
          <w:sz w:val="28"/>
          <w:szCs w:val="28"/>
        </w:rPr>
        <w:t xml:space="preserve"> </w:t>
      </w:r>
      <w:r w:rsidRPr="00E241A7">
        <w:rPr>
          <w:rFonts w:ascii="Arial" w:eastAsia="Arial" w:hAnsi="Arial" w:cs="Arial"/>
          <w:b/>
          <w:color w:val="000000"/>
          <w:sz w:val="28"/>
          <w:szCs w:val="28"/>
        </w:rPr>
        <w:t xml:space="preserve">Battery Grade Nickel and Cobalt </w:t>
      </w:r>
      <w:r w:rsidR="00F93D65" w:rsidRPr="00E241A7">
        <w:rPr>
          <w:rFonts w:ascii="Arial" w:eastAsia="Arial" w:hAnsi="Arial" w:cs="Arial"/>
          <w:b/>
          <w:color w:val="000000"/>
          <w:sz w:val="28"/>
          <w:szCs w:val="28"/>
        </w:rPr>
        <w:t>Sulphate</w:t>
      </w:r>
    </w:p>
    <w:p w14:paraId="205DE1BC" w14:textId="6DFFEC8D" w:rsidR="00594BD8" w:rsidRPr="0058020B" w:rsidRDefault="00176A69" w:rsidP="00594BD8">
      <w:pPr>
        <w:pStyle w:val="ListParagraph"/>
        <w:numPr>
          <w:ilvl w:val="0"/>
          <w:numId w:val="1"/>
        </w:numPr>
        <w:rPr>
          <w:rFonts w:ascii="Arial" w:eastAsia="Arial" w:hAnsi="Arial" w:cs="Arial"/>
          <w:sz w:val="22"/>
          <w:szCs w:val="22"/>
        </w:rPr>
      </w:pPr>
      <w:r>
        <w:rPr>
          <w:rFonts w:ascii="Arial" w:eastAsia="Arial" w:hAnsi="Arial" w:cs="Arial"/>
          <w:sz w:val="22"/>
          <w:szCs w:val="22"/>
        </w:rPr>
        <w:t>B</w:t>
      </w:r>
      <w:r w:rsidR="00594BD8" w:rsidRPr="0058020B">
        <w:rPr>
          <w:rFonts w:ascii="Arial" w:eastAsia="Arial" w:hAnsi="Arial" w:cs="Arial"/>
          <w:sz w:val="22"/>
          <w:szCs w:val="22"/>
        </w:rPr>
        <w:t>inding offtake agreement of</w:t>
      </w:r>
      <w:r w:rsidR="0089685C">
        <w:rPr>
          <w:rFonts w:ascii="Arial" w:eastAsia="Arial" w:hAnsi="Arial" w:cs="Arial"/>
          <w:sz w:val="22"/>
          <w:szCs w:val="22"/>
        </w:rPr>
        <w:t xml:space="preserve"> </w:t>
      </w:r>
      <w:r w:rsidR="00594BD8" w:rsidRPr="0058020B">
        <w:rPr>
          <w:rFonts w:ascii="Arial" w:eastAsia="Arial" w:hAnsi="Arial" w:cs="Arial"/>
          <w:sz w:val="22"/>
          <w:szCs w:val="22"/>
        </w:rPr>
        <w:t xml:space="preserve">battery-grade nickel and cobalt </w:t>
      </w:r>
      <w:r w:rsidR="00F93D65" w:rsidRPr="0058020B">
        <w:rPr>
          <w:rFonts w:ascii="Arial" w:eastAsia="Arial" w:hAnsi="Arial" w:cs="Arial"/>
          <w:sz w:val="22"/>
          <w:szCs w:val="22"/>
        </w:rPr>
        <w:t>sulphate</w:t>
      </w:r>
      <w:r w:rsidR="00594BD8" w:rsidRPr="0058020B">
        <w:rPr>
          <w:rFonts w:ascii="Arial" w:eastAsia="Arial" w:hAnsi="Arial" w:cs="Arial"/>
          <w:sz w:val="22"/>
          <w:szCs w:val="22"/>
        </w:rPr>
        <w:t xml:space="preserve"> from </w:t>
      </w:r>
      <w:r w:rsidR="00F8008C" w:rsidRPr="0058020B">
        <w:rPr>
          <w:rFonts w:ascii="Arial" w:eastAsia="Arial" w:hAnsi="Arial" w:cs="Arial"/>
          <w:sz w:val="22"/>
          <w:szCs w:val="22"/>
        </w:rPr>
        <w:t xml:space="preserve">the </w:t>
      </w:r>
      <w:r w:rsidR="00594BD8" w:rsidRPr="0058020B">
        <w:rPr>
          <w:rFonts w:ascii="Arial" w:eastAsia="Arial" w:hAnsi="Arial" w:cs="Arial"/>
          <w:sz w:val="22"/>
          <w:szCs w:val="22"/>
        </w:rPr>
        <w:t xml:space="preserve">NiWest project in </w:t>
      </w:r>
      <w:r w:rsidR="00DB3712" w:rsidRPr="0058020B">
        <w:rPr>
          <w:rFonts w:ascii="Arial" w:eastAsia="Arial" w:hAnsi="Arial" w:cs="Arial"/>
          <w:sz w:val="22"/>
          <w:szCs w:val="22"/>
        </w:rPr>
        <w:t xml:space="preserve">Western </w:t>
      </w:r>
      <w:r w:rsidR="00594BD8" w:rsidRPr="0058020B">
        <w:rPr>
          <w:rFonts w:ascii="Arial" w:eastAsia="Arial" w:hAnsi="Arial" w:cs="Arial"/>
          <w:sz w:val="22"/>
          <w:szCs w:val="22"/>
        </w:rPr>
        <w:t>Australia</w:t>
      </w:r>
      <w:r>
        <w:rPr>
          <w:rFonts w:ascii="Arial" w:eastAsia="Arial" w:hAnsi="Arial" w:cs="Arial"/>
          <w:sz w:val="22"/>
          <w:szCs w:val="22"/>
        </w:rPr>
        <w:t xml:space="preserve"> </w:t>
      </w:r>
    </w:p>
    <w:p w14:paraId="5657E88D" w14:textId="3948AA54" w:rsidR="00594BD8" w:rsidRPr="0058020B" w:rsidRDefault="00594BD8" w:rsidP="00594BD8">
      <w:pPr>
        <w:pStyle w:val="ListParagraph"/>
        <w:numPr>
          <w:ilvl w:val="0"/>
          <w:numId w:val="1"/>
        </w:numPr>
        <w:rPr>
          <w:rFonts w:ascii="Arial" w:eastAsia="Arial" w:hAnsi="Arial" w:cs="Arial"/>
          <w:sz w:val="22"/>
          <w:szCs w:val="22"/>
        </w:rPr>
      </w:pPr>
      <w:r w:rsidRPr="0058020B">
        <w:rPr>
          <w:rFonts w:ascii="Arial" w:eastAsia="Arial" w:hAnsi="Arial" w:cs="Arial"/>
          <w:sz w:val="22"/>
          <w:szCs w:val="22"/>
        </w:rPr>
        <w:t xml:space="preserve">Offtake agreement </w:t>
      </w:r>
      <w:r w:rsidR="00DB3712" w:rsidRPr="0058020B">
        <w:rPr>
          <w:rFonts w:ascii="Arial" w:eastAsia="Arial" w:hAnsi="Arial" w:cs="Arial"/>
          <w:sz w:val="22"/>
          <w:szCs w:val="22"/>
        </w:rPr>
        <w:t xml:space="preserve">for </w:t>
      </w:r>
      <w:r w:rsidRPr="0058020B">
        <w:rPr>
          <w:rFonts w:ascii="Arial" w:eastAsia="Arial" w:hAnsi="Arial" w:cs="Arial"/>
          <w:sz w:val="22"/>
          <w:szCs w:val="22"/>
        </w:rPr>
        <w:t xml:space="preserve">approximately 40% of forecast annual </w:t>
      </w:r>
      <w:r w:rsidR="0089621D" w:rsidRPr="0058020B">
        <w:rPr>
          <w:rFonts w:ascii="Arial" w:eastAsia="Arial" w:hAnsi="Arial" w:cs="Arial"/>
          <w:sz w:val="22"/>
          <w:szCs w:val="22"/>
        </w:rPr>
        <w:t>production</w:t>
      </w:r>
      <w:r w:rsidRPr="0058020B">
        <w:rPr>
          <w:rFonts w:ascii="Arial" w:eastAsia="Arial" w:hAnsi="Arial" w:cs="Arial"/>
          <w:sz w:val="22"/>
          <w:szCs w:val="22"/>
        </w:rPr>
        <w:t xml:space="preserve"> for </w:t>
      </w:r>
      <w:r w:rsidR="00DB3712" w:rsidRPr="0058020B">
        <w:rPr>
          <w:rFonts w:ascii="Arial" w:eastAsia="Arial" w:hAnsi="Arial" w:cs="Arial"/>
          <w:sz w:val="22"/>
          <w:szCs w:val="22"/>
        </w:rPr>
        <w:t xml:space="preserve">an </w:t>
      </w:r>
      <w:r w:rsidR="004D60BA" w:rsidRPr="0058020B">
        <w:rPr>
          <w:rFonts w:ascii="Arial" w:eastAsia="Arial" w:hAnsi="Arial" w:cs="Arial"/>
          <w:sz w:val="22"/>
          <w:szCs w:val="22"/>
        </w:rPr>
        <w:t>initial</w:t>
      </w:r>
      <w:r w:rsidRPr="0058020B">
        <w:rPr>
          <w:rFonts w:ascii="Arial" w:eastAsia="Arial" w:hAnsi="Arial" w:cs="Arial"/>
          <w:sz w:val="22"/>
          <w:szCs w:val="22"/>
        </w:rPr>
        <w:t xml:space="preserve"> term of five years</w:t>
      </w:r>
      <w:r w:rsidR="00176A69">
        <w:rPr>
          <w:rFonts w:ascii="Arial" w:eastAsia="Arial" w:hAnsi="Arial" w:cs="Arial"/>
          <w:sz w:val="22"/>
          <w:szCs w:val="22"/>
        </w:rPr>
        <w:t xml:space="preserve"> </w:t>
      </w:r>
    </w:p>
    <w:p w14:paraId="4CED9E7B" w14:textId="1B520502" w:rsidR="00F2385D" w:rsidRPr="0058020B" w:rsidRDefault="00594BD8" w:rsidP="00EF7538">
      <w:pPr>
        <w:pStyle w:val="ListParagraph"/>
        <w:numPr>
          <w:ilvl w:val="0"/>
          <w:numId w:val="1"/>
        </w:numPr>
        <w:spacing w:after="0"/>
        <w:jc w:val="left"/>
        <w:rPr>
          <w:rFonts w:ascii="Arial" w:eastAsia="Arial" w:hAnsi="Arial" w:cs="Arial"/>
          <w:sz w:val="22"/>
          <w:szCs w:val="22"/>
        </w:rPr>
      </w:pPr>
      <w:r w:rsidRPr="0058020B">
        <w:rPr>
          <w:rFonts w:ascii="Arial" w:eastAsia="Arial" w:hAnsi="Arial" w:cs="Arial"/>
          <w:sz w:val="22"/>
          <w:szCs w:val="22"/>
        </w:rPr>
        <w:t xml:space="preserve">Stellantis </w:t>
      </w:r>
      <w:r w:rsidR="00F2385D" w:rsidRPr="0058020B">
        <w:rPr>
          <w:rFonts w:ascii="Arial" w:eastAsia="Arial" w:hAnsi="Arial" w:cs="Arial"/>
          <w:sz w:val="22"/>
          <w:szCs w:val="22"/>
        </w:rPr>
        <w:t xml:space="preserve">purchases </w:t>
      </w:r>
      <w:r w:rsidRPr="0058020B">
        <w:rPr>
          <w:rFonts w:ascii="Arial" w:eastAsia="Arial" w:hAnsi="Arial" w:cs="Arial"/>
          <w:sz w:val="22"/>
          <w:szCs w:val="22"/>
        </w:rPr>
        <w:t>€9.2 million (</w:t>
      </w:r>
      <w:r w:rsidR="00F2385D" w:rsidRPr="0058020B">
        <w:rPr>
          <w:rFonts w:ascii="Arial" w:eastAsia="Arial" w:hAnsi="Arial" w:cs="Arial"/>
          <w:sz w:val="22"/>
          <w:szCs w:val="22"/>
        </w:rPr>
        <w:t xml:space="preserve">AUD 15 million) in new equity in Alliance Nickel, giving it an 11.5% shareholding </w:t>
      </w:r>
    </w:p>
    <w:p w14:paraId="1B8287BF" w14:textId="5F77B400" w:rsidR="00D013CE" w:rsidRPr="0058020B" w:rsidRDefault="00F2385D" w:rsidP="00EF7538">
      <w:pPr>
        <w:pStyle w:val="ListParagraph"/>
        <w:numPr>
          <w:ilvl w:val="0"/>
          <w:numId w:val="1"/>
        </w:numPr>
        <w:spacing w:after="0"/>
        <w:jc w:val="left"/>
        <w:rPr>
          <w:rFonts w:ascii="Arial" w:eastAsia="Arial" w:hAnsi="Arial" w:cs="Arial"/>
          <w:sz w:val="22"/>
          <w:szCs w:val="22"/>
        </w:rPr>
      </w:pPr>
      <w:r w:rsidRPr="0058020B">
        <w:rPr>
          <w:rFonts w:ascii="Arial" w:eastAsia="Arial" w:hAnsi="Arial" w:cs="Arial"/>
          <w:sz w:val="22"/>
          <w:szCs w:val="22"/>
        </w:rPr>
        <w:t xml:space="preserve">Agreement </w:t>
      </w:r>
      <w:r w:rsidR="00044E26" w:rsidRPr="0058020B">
        <w:rPr>
          <w:rFonts w:ascii="Arial" w:eastAsia="Arial" w:hAnsi="Arial" w:cs="Arial"/>
          <w:sz w:val="22"/>
          <w:szCs w:val="22"/>
        </w:rPr>
        <w:t>s</w:t>
      </w:r>
      <w:r w:rsidR="00D013CE" w:rsidRPr="0058020B">
        <w:rPr>
          <w:rFonts w:ascii="Arial" w:eastAsia="Arial" w:hAnsi="Arial" w:cs="Arial"/>
          <w:sz w:val="22"/>
          <w:szCs w:val="22"/>
        </w:rPr>
        <w:t>trengthen</w:t>
      </w:r>
      <w:r w:rsidR="00044E26" w:rsidRPr="0058020B">
        <w:rPr>
          <w:rFonts w:ascii="Arial" w:eastAsia="Arial" w:hAnsi="Arial" w:cs="Arial"/>
          <w:sz w:val="22"/>
          <w:szCs w:val="22"/>
        </w:rPr>
        <w:t>s</w:t>
      </w:r>
      <w:r w:rsidR="00D013CE" w:rsidRPr="0058020B">
        <w:rPr>
          <w:rFonts w:ascii="Arial" w:eastAsia="Arial" w:hAnsi="Arial" w:cs="Arial"/>
          <w:sz w:val="22"/>
          <w:szCs w:val="22"/>
        </w:rPr>
        <w:t xml:space="preserve"> </w:t>
      </w:r>
      <w:r w:rsidRPr="0058020B">
        <w:rPr>
          <w:rFonts w:ascii="Arial" w:eastAsia="Arial" w:hAnsi="Arial" w:cs="Arial"/>
          <w:sz w:val="22"/>
          <w:szCs w:val="22"/>
        </w:rPr>
        <w:t xml:space="preserve">Stellantis’ </w:t>
      </w:r>
      <w:r w:rsidR="00D013CE" w:rsidRPr="0058020B">
        <w:rPr>
          <w:rFonts w:ascii="Arial" w:eastAsia="Arial" w:hAnsi="Arial" w:cs="Arial"/>
          <w:sz w:val="22"/>
          <w:szCs w:val="22"/>
        </w:rPr>
        <w:t>value chain for electric vehicle battery production</w:t>
      </w:r>
      <w:r w:rsidR="00E16A57" w:rsidRPr="0058020B">
        <w:rPr>
          <w:rFonts w:ascii="Arial" w:eastAsia="Arial" w:hAnsi="Arial" w:cs="Arial"/>
          <w:sz w:val="22"/>
          <w:szCs w:val="22"/>
        </w:rPr>
        <w:t xml:space="preserve"> </w:t>
      </w:r>
      <w:r w:rsidRPr="0058020B">
        <w:rPr>
          <w:rFonts w:ascii="Arial" w:eastAsia="Arial" w:hAnsi="Arial" w:cs="Arial"/>
          <w:sz w:val="22"/>
          <w:szCs w:val="22"/>
        </w:rPr>
        <w:t xml:space="preserve">that supports </w:t>
      </w:r>
      <w:r w:rsidR="00E16A57" w:rsidRPr="0058020B">
        <w:rPr>
          <w:rFonts w:ascii="Arial" w:eastAsia="Arial" w:hAnsi="Arial" w:cs="Arial"/>
          <w:sz w:val="22"/>
          <w:szCs w:val="22"/>
        </w:rPr>
        <w:t>Dare Forward 2030 strategic plan targets</w:t>
      </w:r>
    </w:p>
    <w:p w14:paraId="3C06AD10" w14:textId="74EAE58A" w:rsidR="00DA44D2" w:rsidRPr="00E241A7" w:rsidRDefault="00DA44D2" w:rsidP="00594BD8">
      <w:pPr>
        <w:spacing w:after="0"/>
        <w:ind w:left="360"/>
        <w:jc w:val="left"/>
        <w:rPr>
          <w:rFonts w:ascii="Arial" w:eastAsia="Arial" w:hAnsi="Arial" w:cs="Arial"/>
        </w:rPr>
      </w:pPr>
    </w:p>
    <w:p w14:paraId="4265FA1D" w14:textId="629602CF" w:rsidR="00E55D06" w:rsidRPr="00E241A7" w:rsidRDefault="00594BD8">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b/>
          <w:color w:val="000000"/>
          <w:sz w:val="22"/>
          <w:szCs w:val="22"/>
        </w:rPr>
        <w:t xml:space="preserve">April </w:t>
      </w:r>
      <w:r w:rsidR="007A4423">
        <w:rPr>
          <w:rFonts w:ascii="Arial" w:eastAsia="Arial" w:hAnsi="Arial" w:cs="Arial"/>
          <w:b/>
          <w:color w:val="000000"/>
          <w:sz w:val="22"/>
          <w:szCs w:val="22"/>
        </w:rPr>
        <w:t>28</w:t>
      </w:r>
      <w:r w:rsidR="00DB7F49" w:rsidRPr="00E241A7">
        <w:rPr>
          <w:rFonts w:ascii="Arial" w:eastAsia="Arial" w:hAnsi="Arial" w:cs="Arial"/>
          <w:b/>
          <w:color w:val="000000"/>
          <w:sz w:val="22"/>
          <w:szCs w:val="22"/>
        </w:rPr>
        <w:t>, 202</w:t>
      </w:r>
      <w:r w:rsidRPr="00E241A7">
        <w:rPr>
          <w:rFonts w:ascii="Arial" w:eastAsia="Arial" w:hAnsi="Arial" w:cs="Arial"/>
          <w:b/>
          <w:color w:val="000000"/>
          <w:sz w:val="22"/>
          <w:szCs w:val="22"/>
        </w:rPr>
        <w:t>3</w:t>
      </w:r>
      <w:r w:rsidR="0011344A" w:rsidRPr="00E241A7">
        <w:rPr>
          <w:rFonts w:ascii="Arial" w:eastAsia="Arial" w:hAnsi="Arial" w:cs="Arial"/>
          <w:b/>
          <w:color w:val="000000"/>
          <w:sz w:val="22"/>
          <w:szCs w:val="22"/>
        </w:rPr>
        <w:t>, AMSTERDAM</w:t>
      </w:r>
      <w:r w:rsidR="00DB7F49" w:rsidRPr="00E241A7">
        <w:rPr>
          <w:rFonts w:ascii="Arial" w:eastAsia="Arial" w:hAnsi="Arial" w:cs="Arial"/>
          <w:color w:val="000000"/>
          <w:sz w:val="22"/>
          <w:szCs w:val="22"/>
        </w:rPr>
        <w:t xml:space="preserve"> – </w:t>
      </w:r>
      <w:hyperlink r:id="rId11" w:history="1">
        <w:r w:rsidR="007F0624" w:rsidRPr="00E241A7">
          <w:rPr>
            <w:rStyle w:val="Hyperlink"/>
            <w:rFonts w:ascii="Arial" w:eastAsia="Times New Roman" w:hAnsi="Arial" w:cs="Arial"/>
            <w:sz w:val="22"/>
            <w:szCs w:val="22"/>
            <w:u w:val="single"/>
            <w:shd w:val="clear" w:color="auto" w:fill="FFFFFF"/>
          </w:rPr>
          <w:t>Stellantis</w:t>
        </w:r>
        <w:r w:rsidR="00F9493A" w:rsidRPr="00E241A7">
          <w:rPr>
            <w:rStyle w:val="Hyperlink"/>
            <w:rFonts w:ascii="Arial" w:eastAsia="Times New Roman" w:hAnsi="Arial" w:cs="Arial"/>
            <w:sz w:val="22"/>
            <w:szCs w:val="22"/>
            <w:u w:val="single"/>
            <w:shd w:val="clear" w:color="auto" w:fill="FFFFFF"/>
          </w:rPr>
          <w:t xml:space="preserve"> N.V.</w:t>
        </w:r>
      </w:hyperlink>
      <w:r w:rsidR="008535C7" w:rsidRPr="00E241A7">
        <w:rPr>
          <w:rFonts w:ascii="Arial" w:eastAsia="Times New Roman" w:hAnsi="Arial" w:cs="Arial"/>
          <w:sz w:val="22"/>
          <w:szCs w:val="22"/>
          <w:shd w:val="clear" w:color="auto" w:fill="FFFFFF"/>
        </w:rPr>
        <w:t xml:space="preserve"> </w:t>
      </w:r>
      <w:r w:rsidR="0011344A" w:rsidRPr="00E241A7">
        <w:rPr>
          <w:rFonts w:ascii="Arial" w:eastAsia="Arial" w:hAnsi="Arial" w:cs="Arial"/>
          <w:color w:val="000000"/>
          <w:sz w:val="22"/>
          <w:szCs w:val="22"/>
        </w:rPr>
        <w:t>and</w:t>
      </w:r>
      <w:r w:rsidR="00E55D06" w:rsidRPr="00E241A7">
        <w:rPr>
          <w:rFonts w:ascii="Arial" w:eastAsia="Arial" w:hAnsi="Arial" w:cs="Arial"/>
          <w:color w:val="000000"/>
          <w:sz w:val="22"/>
          <w:szCs w:val="22"/>
        </w:rPr>
        <w:t xml:space="preserve"> Alliance Nickel Ltd (formerly GME Resources) (ASX: AXN</w:t>
      </w:r>
      <w:r w:rsidR="00745364">
        <w:rPr>
          <w:rFonts w:ascii="Arial" w:eastAsia="Arial" w:hAnsi="Arial" w:cs="Arial"/>
          <w:color w:val="000000"/>
          <w:sz w:val="22"/>
          <w:szCs w:val="22"/>
        </w:rPr>
        <w:t>, Alliance</w:t>
      </w:r>
      <w:r w:rsidR="0011344A" w:rsidRPr="00E241A7">
        <w:rPr>
          <w:rFonts w:ascii="Arial" w:eastAsia="Arial" w:hAnsi="Arial" w:cs="Arial"/>
          <w:color w:val="000000"/>
          <w:sz w:val="22"/>
          <w:szCs w:val="22"/>
        </w:rPr>
        <w:t xml:space="preserve">) today announced the signing of a </w:t>
      </w:r>
      <w:r w:rsidR="00E55D06" w:rsidRPr="00E241A7">
        <w:rPr>
          <w:rFonts w:ascii="Arial" w:eastAsia="Arial" w:hAnsi="Arial" w:cs="Arial"/>
          <w:color w:val="000000"/>
          <w:sz w:val="22"/>
          <w:szCs w:val="22"/>
        </w:rPr>
        <w:t>b</w:t>
      </w:r>
      <w:r w:rsidR="0011344A" w:rsidRPr="00E241A7">
        <w:rPr>
          <w:rFonts w:ascii="Arial" w:eastAsia="Arial" w:hAnsi="Arial" w:cs="Arial"/>
          <w:color w:val="000000"/>
          <w:sz w:val="22"/>
          <w:szCs w:val="22"/>
        </w:rPr>
        <w:t>inding</w:t>
      </w:r>
      <w:r w:rsidR="009B5C3F">
        <w:rPr>
          <w:rFonts w:ascii="Arial" w:eastAsia="Arial" w:hAnsi="Arial" w:cs="Arial"/>
          <w:color w:val="000000"/>
          <w:sz w:val="22"/>
          <w:szCs w:val="22"/>
        </w:rPr>
        <w:t xml:space="preserve"> </w:t>
      </w:r>
      <w:r w:rsidR="00E55D06" w:rsidRPr="00E241A7">
        <w:rPr>
          <w:rFonts w:ascii="Arial" w:eastAsia="Arial" w:hAnsi="Arial" w:cs="Arial"/>
          <w:color w:val="000000"/>
          <w:sz w:val="22"/>
          <w:szCs w:val="22"/>
        </w:rPr>
        <w:t>offtake agreement for</w:t>
      </w:r>
      <w:r w:rsidR="009B5C3F">
        <w:rPr>
          <w:rFonts w:ascii="Arial" w:eastAsia="Arial" w:hAnsi="Arial" w:cs="Arial"/>
          <w:color w:val="000000"/>
          <w:sz w:val="22"/>
          <w:szCs w:val="22"/>
        </w:rPr>
        <w:t xml:space="preserve"> the supply</w:t>
      </w:r>
      <w:r w:rsidR="00E55D06" w:rsidRPr="00E241A7">
        <w:rPr>
          <w:rFonts w:ascii="Arial" w:eastAsia="Arial" w:hAnsi="Arial" w:cs="Arial"/>
          <w:color w:val="000000"/>
          <w:sz w:val="22"/>
          <w:szCs w:val="22"/>
        </w:rPr>
        <w:t xml:space="preserve"> </w:t>
      </w:r>
      <w:r w:rsidR="0089685C">
        <w:rPr>
          <w:rFonts w:ascii="Arial" w:eastAsia="Arial" w:hAnsi="Arial" w:cs="Arial"/>
          <w:color w:val="000000"/>
          <w:sz w:val="22"/>
          <w:szCs w:val="22"/>
        </w:rPr>
        <w:t xml:space="preserve">of </w:t>
      </w:r>
      <w:r w:rsidR="0089685C" w:rsidRPr="0089685C">
        <w:rPr>
          <w:rFonts w:ascii="Arial" w:eastAsia="Arial" w:hAnsi="Arial" w:cs="Arial"/>
          <w:color w:val="000000"/>
          <w:sz w:val="22"/>
          <w:szCs w:val="22"/>
        </w:rPr>
        <w:t xml:space="preserve">170,000 tons of nickel sulphate and 12,000 tons of cobalt sulphate in total over </w:t>
      </w:r>
      <w:r w:rsidR="00913FCE">
        <w:rPr>
          <w:rFonts w:ascii="Arial" w:eastAsia="Arial" w:hAnsi="Arial" w:cs="Arial"/>
          <w:color w:val="000000"/>
          <w:sz w:val="22"/>
          <w:szCs w:val="22"/>
        </w:rPr>
        <w:t>an</w:t>
      </w:r>
      <w:r w:rsidR="0089685C" w:rsidRPr="0089685C">
        <w:rPr>
          <w:rFonts w:ascii="Arial" w:eastAsia="Arial" w:hAnsi="Arial" w:cs="Arial"/>
          <w:color w:val="000000"/>
          <w:sz w:val="22"/>
          <w:szCs w:val="22"/>
        </w:rPr>
        <w:t xml:space="preserve"> initial five-year period</w:t>
      </w:r>
      <w:r w:rsidR="009B5C3F">
        <w:rPr>
          <w:rFonts w:ascii="Arial" w:eastAsia="Arial" w:hAnsi="Arial" w:cs="Arial"/>
          <w:color w:val="000000"/>
          <w:sz w:val="22"/>
          <w:szCs w:val="22"/>
        </w:rPr>
        <w:t>. This represent</w:t>
      </w:r>
      <w:r w:rsidR="00176A69">
        <w:rPr>
          <w:rFonts w:ascii="Arial" w:eastAsia="Arial" w:hAnsi="Arial" w:cs="Arial"/>
          <w:color w:val="000000"/>
          <w:sz w:val="22"/>
          <w:szCs w:val="22"/>
        </w:rPr>
        <w:t>s</w:t>
      </w:r>
      <w:r w:rsidR="004D60BA" w:rsidRPr="00E241A7">
        <w:rPr>
          <w:rFonts w:ascii="Arial" w:eastAsia="Arial" w:hAnsi="Arial" w:cs="Arial"/>
          <w:color w:val="000000"/>
          <w:sz w:val="22"/>
          <w:szCs w:val="22"/>
        </w:rPr>
        <w:t xml:space="preserve"> approximately 40% of forecast annual </w:t>
      </w:r>
      <w:r w:rsidR="0089621D" w:rsidRPr="00E241A7">
        <w:rPr>
          <w:rFonts w:ascii="Arial" w:eastAsia="Arial" w:hAnsi="Arial" w:cs="Arial"/>
          <w:color w:val="000000"/>
          <w:sz w:val="22"/>
          <w:szCs w:val="22"/>
        </w:rPr>
        <w:t>production</w:t>
      </w:r>
      <w:r w:rsidR="004D60BA" w:rsidRPr="00E241A7">
        <w:rPr>
          <w:rFonts w:ascii="Arial" w:eastAsia="Arial" w:hAnsi="Arial" w:cs="Arial"/>
          <w:color w:val="000000"/>
          <w:sz w:val="22"/>
          <w:szCs w:val="22"/>
        </w:rPr>
        <w:t xml:space="preserve"> </w:t>
      </w:r>
      <w:r w:rsidR="009B5C3F">
        <w:rPr>
          <w:rFonts w:ascii="Arial" w:eastAsia="Arial" w:hAnsi="Arial" w:cs="Arial"/>
          <w:color w:val="000000"/>
          <w:sz w:val="22"/>
          <w:szCs w:val="22"/>
        </w:rPr>
        <w:t>of</w:t>
      </w:r>
      <w:r w:rsidR="009B5C3F" w:rsidRPr="009B5C3F">
        <w:rPr>
          <w:rFonts w:ascii="Arial" w:eastAsia="Arial" w:hAnsi="Arial" w:cs="Arial"/>
          <w:color w:val="000000"/>
          <w:sz w:val="22"/>
          <w:szCs w:val="22"/>
        </w:rPr>
        <w:t xml:space="preserve"> the NiWest Nickel-Cobalt Project in Western Australia</w:t>
      </w:r>
      <w:r w:rsidR="004D60BA" w:rsidRPr="00E241A7">
        <w:rPr>
          <w:rFonts w:ascii="Arial" w:eastAsia="Arial" w:hAnsi="Arial" w:cs="Arial"/>
          <w:color w:val="000000"/>
          <w:sz w:val="22"/>
          <w:szCs w:val="22"/>
        </w:rPr>
        <w:t>.</w:t>
      </w:r>
      <w:r w:rsidR="0089685C" w:rsidRPr="0089685C">
        <w:rPr>
          <w:rFonts w:ascii="Arial" w:eastAsia="Arial" w:hAnsi="Arial" w:cs="Arial"/>
          <w:color w:val="000000"/>
          <w:sz w:val="22"/>
          <w:szCs w:val="22"/>
        </w:rPr>
        <w:t xml:space="preserve"> Pricing for the nickel and cobalt sulphate is linked to index prices. </w:t>
      </w:r>
    </w:p>
    <w:p w14:paraId="322FF1BD" w14:textId="23EF884B" w:rsidR="00E87F6E" w:rsidRPr="00E241A7" w:rsidRDefault="00E55D06">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 xml:space="preserve">In addition, Stellantis agreed to purchase €9.2 million (AUD15 million) in new equity in Alliance Nickel, giving it an 11.5% </w:t>
      </w:r>
      <w:r w:rsidR="004D60BA" w:rsidRPr="00E241A7">
        <w:rPr>
          <w:rFonts w:ascii="Arial" w:eastAsia="Arial" w:hAnsi="Arial" w:cs="Arial"/>
          <w:color w:val="000000"/>
          <w:sz w:val="22"/>
          <w:szCs w:val="22"/>
        </w:rPr>
        <w:t>shareholding</w:t>
      </w:r>
      <w:r w:rsidRPr="00E241A7">
        <w:rPr>
          <w:rFonts w:ascii="Arial" w:eastAsia="Arial" w:hAnsi="Arial" w:cs="Arial"/>
          <w:color w:val="000000"/>
          <w:sz w:val="22"/>
          <w:szCs w:val="22"/>
        </w:rPr>
        <w:t xml:space="preserve"> </w:t>
      </w:r>
      <w:r w:rsidR="00E46862" w:rsidRPr="00E241A7">
        <w:rPr>
          <w:rFonts w:ascii="Arial" w:eastAsia="Arial" w:hAnsi="Arial" w:cs="Arial"/>
          <w:color w:val="000000"/>
          <w:sz w:val="22"/>
          <w:szCs w:val="22"/>
        </w:rPr>
        <w:t xml:space="preserve">on completion </w:t>
      </w:r>
      <w:r w:rsidRPr="00E241A7">
        <w:rPr>
          <w:rFonts w:ascii="Arial" w:eastAsia="Arial" w:hAnsi="Arial" w:cs="Arial"/>
          <w:color w:val="000000"/>
          <w:sz w:val="22"/>
          <w:szCs w:val="22"/>
        </w:rPr>
        <w:t xml:space="preserve">and rights to nominate one director to </w:t>
      </w:r>
      <w:r w:rsidR="00E87F6E" w:rsidRPr="00E241A7">
        <w:rPr>
          <w:rFonts w:ascii="Arial" w:eastAsia="Arial" w:hAnsi="Arial" w:cs="Arial"/>
          <w:color w:val="000000"/>
          <w:sz w:val="22"/>
          <w:szCs w:val="22"/>
        </w:rPr>
        <w:t xml:space="preserve">the </w:t>
      </w:r>
      <w:r w:rsidRPr="00E241A7">
        <w:rPr>
          <w:rFonts w:ascii="Arial" w:eastAsia="Arial" w:hAnsi="Arial" w:cs="Arial"/>
          <w:color w:val="000000"/>
          <w:sz w:val="22"/>
          <w:szCs w:val="22"/>
        </w:rPr>
        <w:t>Alliance board</w:t>
      </w:r>
      <w:r w:rsidR="00E87F6E" w:rsidRPr="00E241A7">
        <w:rPr>
          <w:rFonts w:ascii="Arial" w:eastAsia="Arial" w:hAnsi="Arial" w:cs="Arial"/>
          <w:color w:val="000000"/>
          <w:sz w:val="22"/>
          <w:szCs w:val="22"/>
        </w:rPr>
        <w:t>.</w:t>
      </w:r>
    </w:p>
    <w:p w14:paraId="1729D0CF" w14:textId="1DE1A4C8" w:rsidR="00E87F6E" w:rsidRPr="00E241A7" w:rsidRDefault="00E87F6E">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w:t>
      </w:r>
      <w:r w:rsidR="001A25FF" w:rsidRPr="00E241A7">
        <w:rPr>
          <w:rFonts w:ascii="Arial" w:eastAsia="Arial" w:hAnsi="Arial" w:cs="Arial"/>
          <w:color w:val="000000"/>
          <w:sz w:val="22"/>
          <w:szCs w:val="22"/>
        </w:rPr>
        <w:t xml:space="preserve">The commitments of Dare Forward 2030 and our industry-leading decarbonization drive are built on </w:t>
      </w:r>
      <w:r w:rsidR="00913FCE">
        <w:rPr>
          <w:rFonts w:ascii="Arial" w:eastAsia="Arial" w:hAnsi="Arial" w:cs="Arial"/>
          <w:color w:val="000000"/>
          <w:sz w:val="22"/>
          <w:szCs w:val="22"/>
        </w:rPr>
        <w:t>the</w:t>
      </w:r>
      <w:r w:rsidR="001A25FF" w:rsidRPr="00E241A7">
        <w:rPr>
          <w:rFonts w:ascii="Arial" w:eastAsia="Arial" w:hAnsi="Arial" w:cs="Arial"/>
          <w:color w:val="000000"/>
          <w:sz w:val="22"/>
          <w:szCs w:val="22"/>
        </w:rPr>
        <w:t xml:space="preserve"> foundation of a guaranteed supply of key materials</w:t>
      </w:r>
      <w:r w:rsidR="00F13216">
        <w:rPr>
          <w:rFonts w:ascii="Arial" w:eastAsia="Arial" w:hAnsi="Arial" w:cs="Arial"/>
          <w:color w:val="000000"/>
          <w:sz w:val="22"/>
          <w:szCs w:val="22"/>
        </w:rPr>
        <w:t xml:space="preserve"> for our </w:t>
      </w:r>
      <w:r w:rsidR="00176A69">
        <w:rPr>
          <w:rFonts w:ascii="Arial" w:eastAsia="Arial" w:hAnsi="Arial" w:cs="Arial"/>
          <w:color w:val="000000"/>
          <w:sz w:val="22"/>
          <w:szCs w:val="22"/>
        </w:rPr>
        <w:t>battery electric vehicles</w:t>
      </w:r>
      <w:r w:rsidR="001A25FF" w:rsidRPr="00E241A7">
        <w:rPr>
          <w:rFonts w:ascii="Arial" w:eastAsia="Arial" w:hAnsi="Arial" w:cs="Arial"/>
          <w:color w:val="000000"/>
          <w:sz w:val="22"/>
          <w:szCs w:val="22"/>
        </w:rPr>
        <w:t xml:space="preserve">,” said </w:t>
      </w:r>
      <w:r w:rsidR="00913FCE">
        <w:rPr>
          <w:rFonts w:ascii="Arial" w:eastAsia="Arial" w:hAnsi="Arial" w:cs="Arial"/>
          <w:color w:val="000000"/>
          <w:sz w:val="22"/>
          <w:szCs w:val="22"/>
        </w:rPr>
        <w:t>Stellantis CEO Carlos Tavares.</w:t>
      </w:r>
      <w:r w:rsidR="001A25FF" w:rsidRPr="00E241A7">
        <w:rPr>
          <w:rFonts w:ascii="Arial" w:eastAsia="Arial" w:hAnsi="Arial" w:cs="Arial"/>
          <w:color w:val="000000"/>
          <w:sz w:val="22"/>
          <w:szCs w:val="22"/>
        </w:rPr>
        <w:t xml:space="preserve"> “The partnership with Alliance Nickel is </w:t>
      </w:r>
      <w:r w:rsidR="008C60D4" w:rsidRPr="00E241A7">
        <w:rPr>
          <w:rFonts w:ascii="Arial" w:eastAsia="Arial" w:hAnsi="Arial" w:cs="Arial"/>
          <w:color w:val="000000"/>
          <w:sz w:val="22"/>
          <w:szCs w:val="22"/>
        </w:rPr>
        <w:t xml:space="preserve">an </w:t>
      </w:r>
      <w:r w:rsidR="001A25FF" w:rsidRPr="00E241A7">
        <w:rPr>
          <w:rFonts w:ascii="Arial" w:eastAsia="Arial" w:hAnsi="Arial" w:cs="Arial"/>
          <w:color w:val="000000"/>
          <w:sz w:val="22"/>
          <w:szCs w:val="22"/>
        </w:rPr>
        <w:t xml:space="preserve">important </w:t>
      </w:r>
      <w:r w:rsidR="008C60D4" w:rsidRPr="00E241A7">
        <w:rPr>
          <w:rFonts w:ascii="Arial" w:eastAsia="Arial" w:hAnsi="Arial" w:cs="Arial"/>
          <w:color w:val="000000"/>
          <w:sz w:val="22"/>
          <w:szCs w:val="22"/>
        </w:rPr>
        <w:t>ele</w:t>
      </w:r>
      <w:r w:rsidR="006679B2" w:rsidRPr="00E241A7">
        <w:rPr>
          <w:rFonts w:ascii="Arial" w:eastAsia="Arial" w:hAnsi="Arial" w:cs="Arial"/>
          <w:color w:val="000000"/>
          <w:sz w:val="22"/>
          <w:szCs w:val="22"/>
        </w:rPr>
        <w:t xml:space="preserve">ment </w:t>
      </w:r>
      <w:r w:rsidR="001A25FF" w:rsidRPr="00E241A7">
        <w:rPr>
          <w:rFonts w:ascii="Arial" w:eastAsia="Arial" w:hAnsi="Arial" w:cs="Arial"/>
          <w:color w:val="000000"/>
          <w:sz w:val="22"/>
          <w:szCs w:val="22"/>
        </w:rPr>
        <w:t>of our plan to</w:t>
      </w:r>
      <w:r w:rsidR="0089685C">
        <w:rPr>
          <w:rFonts w:ascii="Arial" w:eastAsia="Arial" w:hAnsi="Arial" w:cs="Arial"/>
          <w:color w:val="000000"/>
          <w:sz w:val="22"/>
          <w:szCs w:val="22"/>
        </w:rPr>
        <w:t xml:space="preserve"> </w:t>
      </w:r>
      <w:r w:rsidR="001A25FF" w:rsidRPr="00E241A7">
        <w:rPr>
          <w:rFonts w:ascii="Arial" w:eastAsia="Arial" w:hAnsi="Arial" w:cs="Arial"/>
          <w:color w:val="000000"/>
          <w:sz w:val="22"/>
          <w:szCs w:val="22"/>
        </w:rPr>
        <w:t>provid</w:t>
      </w:r>
      <w:r w:rsidR="00F13216">
        <w:rPr>
          <w:rFonts w:ascii="Arial" w:eastAsia="Arial" w:hAnsi="Arial" w:cs="Arial"/>
          <w:color w:val="000000"/>
          <w:sz w:val="22"/>
          <w:szCs w:val="22"/>
        </w:rPr>
        <w:t>e</w:t>
      </w:r>
      <w:r w:rsidR="001A25FF" w:rsidRPr="00E241A7">
        <w:rPr>
          <w:rFonts w:ascii="Arial" w:eastAsia="Arial" w:hAnsi="Arial" w:cs="Arial"/>
          <w:color w:val="000000"/>
          <w:sz w:val="22"/>
          <w:szCs w:val="22"/>
        </w:rPr>
        <w:t xml:space="preserve"> clean, safe and affordable mobility for people throughout the world.”</w:t>
      </w:r>
    </w:p>
    <w:p w14:paraId="7E138042" w14:textId="3ADDDCEC" w:rsidR="001A25FF" w:rsidRPr="00E241A7" w:rsidRDefault="001A25FF" w:rsidP="001A25FF">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 xml:space="preserve">“The binding agreements with Stellantis, one of the world’s leading and most forward-thinking vehicle manufacturers, are transformative for the future of Alliance. It validates our development strategy for the NiWest Nickel-Cobalt Project and opens critical new funding options by securing a premier Tier 1 cornerstone customer and investor,” said Paul Kopejtka, Alliance Managing </w:t>
      </w:r>
      <w:proofErr w:type="gramStart"/>
      <w:r w:rsidRPr="00E241A7">
        <w:rPr>
          <w:rFonts w:ascii="Arial" w:eastAsia="Arial" w:hAnsi="Arial" w:cs="Arial"/>
          <w:color w:val="000000"/>
          <w:sz w:val="22"/>
          <w:szCs w:val="22"/>
        </w:rPr>
        <w:t>Director</w:t>
      </w:r>
      <w:proofErr w:type="gramEnd"/>
      <w:r w:rsidRPr="00E241A7">
        <w:rPr>
          <w:rFonts w:ascii="Arial" w:eastAsia="Arial" w:hAnsi="Arial" w:cs="Arial"/>
          <w:color w:val="000000"/>
          <w:sz w:val="22"/>
          <w:szCs w:val="22"/>
        </w:rPr>
        <w:t xml:space="preserve"> and CEO. “We look forward to a long partnership with Stellantis as we continue to execute our strategy to become the next Australian supplier to the global markets of premium battery-grade nickel and cobalt </w:t>
      </w:r>
      <w:r w:rsidR="00F93D65" w:rsidRPr="00E241A7">
        <w:rPr>
          <w:rFonts w:ascii="Arial" w:eastAsia="Arial" w:hAnsi="Arial" w:cs="Arial"/>
          <w:color w:val="000000"/>
          <w:sz w:val="22"/>
          <w:szCs w:val="22"/>
        </w:rPr>
        <w:t>sulphate</w:t>
      </w:r>
      <w:r w:rsidRPr="00E241A7">
        <w:rPr>
          <w:rFonts w:ascii="Arial" w:eastAsia="Arial" w:hAnsi="Arial" w:cs="Arial"/>
          <w:color w:val="000000"/>
          <w:sz w:val="22"/>
          <w:szCs w:val="22"/>
        </w:rPr>
        <w:t>. This is truly a ‘We Win Together’ outcome for both companies.</w:t>
      </w:r>
      <w:r w:rsidR="00894729" w:rsidRPr="00E241A7">
        <w:rPr>
          <w:rFonts w:ascii="Arial" w:eastAsia="Arial" w:hAnsi="Arial" w:cs="Arial"/>
          <w:color w:val="000000"/>
          <w:sz w:val="22"/>
          <w:szCs w:val="22"/>
        </w:rPr>
        <w:t>”</w:t>
      </w:r>
    </w:p>
    <w:p w14:paraId="4BB69DFF" w14:textId="3A6326FA" w:rsidR="00495D4A" w:rsidRPr="00E241A7" w:rsidRDefault="00495D4A" w:rsidP="00495D4A">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The binding offtake and share purchase agreements solidify the partnership between Stellantis and Alliance Nickel</w:t>
      </w:r>
      <w:r w:rsidR="0001239C" w:rsidRPr="00E241A7">
        <w:rPr>
          <w:rFonts w:ascii="Arial" w:eastAsia="Arial" w:hAnsi="Arial" w:cs="Arial"/>
          <w:color w:val="000000"/>
          <w:sz w:val="22"/>
          <w:szCs w:val="22"/>
        </w:rPr>
        <w:t xml:space="preserve"> </w:t>
      </w:r>
      <w:hyperlink r:id="rId12" w:history="1">
        <w:r w:rsidRPr="00015FDB">
          <w:rPr>
            <w:rStyle w:val="Hyperlink"/>
            <w:rFonts w:ascii="Arial" w:eastAsia="Arial" w:hAnsi="Arial" w:cs="Arial"/>
            <w:sz w:val="22"/>
            <w:szCs w:val="22"/>
            <w:u w:val="single"/>
          </w:rPr>
          <w:t>inaugurated in October 2022</w:t>
        </w:r>
      </w:hyperlink>
      <w:r w:rsidRPr="00E241A7">
        <w:rPr>
          <w:rFonts w:ascii="Arial" w:eastAsia="Arial" w:hAnsi="Arial" w:cs="Arial"/>
          <w:color w:val="000000"/>
          <w:sz w:val="22"/>
          <w:szCs w:val="22"/>
        </w:rPr>
        <w:t xml:space="preserve"> with a non</w:t>
      </w:r>
      <w:r w:rsidR="000661DE" w:rsidRPr="00E241A7">
        <w:rPr>
          <w:rFonts w:ascii="Arial" w:eastAsia="Arial" w:hAnsi="Arial" w:cs="Arial"/>
          <w:color w:val="000000"/>
          <w:sz w:val="22"/>
          <w:szCs w:val="22"/>
        </w:rPr>
        <w:t>-</w:t>
      </w:r>
      <w:r w:rsidRPr="00E241A7">
        <w:rPr>
          <w:rFonts w:ascii="Arial" w:eastAsia="Arial" w:hAnsi="Arial" w:cs="Arial"/>
          <w:color w:val="000000"/>
          <w:sz w:val="22"/>
          <w:szCs w:val="22"/>
        </w:rPr>
        <w:t xml:space="preserve">binding memorandum of understanding for </w:t>
      </w:r>
      <w:r w:rsidR="004977D2" w:rsidRPr="00E241A7">
        <w:rPr>
          <w:rFonts w:ascii="Arial" w:eastAsia="Arial" w:hAnsi="Arial" w:cs="Arial"/>
          <w:color w:val="000000"/>
          <w:sz w:val="22"/>
          <w:szCs w:val="22"/>
        </w:rPr>
        <w:t xml:space="preserve">the </w:t>
      </w:r>
      <w:r w:rsidRPr="00E241A7">
        <w:rPr>
          <w:rFonts w:ascii="Arial" w:eastAsia="Arial" w:hAnsi="Arial" w:cs="Arial"/>
          <w:color w:val="000000"/>
          <w:sz w:val="22"/>
          <w:szCs w:val="22"/>
        </w:rPr>
        <w:t>supply of electric vehicle battery materials.</w:t>
      </w:r>
    </w:p>
    <w:p w14:paraId="062F6508" w14:textId="35A8D11F" w:rsidR="00495D4A" w:rsidRPr="00E241A7" w:rsidRDefault="0001239C" w:rsidP="00495D4A">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lastRenderedPageBreak/>
        <w:t xml:space="preserve">Funds from the equity purchase will be applied to </w:t>
      </w:r>
      <w:r w:rsidR="00627EDB" w:rsidRPr="00E241A7">
        <w:rPr>
          <w:rFonts w:ascii="Arial" w:eastAsia="Arial" w:hAnsi="Arial" w:cs="Arial"/>
          <w:color w:val="000000"/>
          <w:sz w:val="22"/>
          <w:szCs w:val="22"/>
        </w:rPr>
        <w:t xml:space="preserve">the </w:t>
      </w:r>
      <w:r w:rsidRPr="00E241A7">
        <w:rPr>
          <w:rFonts w:ascii="Arial" w:eastAsia="Arial" w:hAnsi="Arial" w:cs="Arial"/>
          <w:color w:val="000000"/>
          <w:sz w:val="22"/>
          <w:szCs w:val="22"/>
        </w:rPr>
        <w:t xml:space="preserve">completion of the NiWest </w:t>
      </w:r>
      <w:r w:rsidR="00627EDB" w:rsidRPr="00E241A7">
        <w:rPr>
          <w:rFonts w:ascii="Arial" w:eastAsia="Arial" w:hAnsi="Arial" w:cs="Arial"/>
          <w:color w:val="000000"/>
          <w:sz w:val="22"/>
          <w:szCs w:val="22"/>
        </w:rPr>
        <w:t xml:space="preserve">Project </w:t>
      </w:r>
      <w:r w:rsidRPr="00E241A7">
        <w:rPr>
          <w:rFonts w:ascii="Arial" w:eastAsia="Arial" w:hAnsi="Arial" w:cs="Arial"/>
          <w:color w:val="000000"/>
          <w:sz w:val="22"/>
          <w:szCs w:val="22"/>
        </w:rPr>
        <w:t>Definitive Feasibility Study and engineering</w:t>
      </w:r>
      <w:r w:rsidR="00A143B2" w:rsidRPr="00E241A7">
        <w:rPr>
          <w:rFonts w:ascii="Arial" w:eastAsia="Arial" w:hAnsi="Arial" w:cs="Arial"/>
          <w:color w:val="000000"/>
          <w:sz w:val="22"/>
          <w:szCs w:val="22"/>
        </w:rPr>
        <w:t xml:space="preserve"> design</w:t>
      </w:r>
      <w:r w:rsidR="00CD461A" w:rsidRPr="00E241A7">
        <w:rPr>
          <w:rFonts w:ascii="Arial" w:eastAsia="Arial" w:hAnsi="Arial" w:cs="Arial"/>
          <w:color w:val="000000"/>
          <w:sz w:val="22"/>
          <w:szCs w:val="22"/>
        </w:rPr>
        <w:t xml:space="preserve"> </w:t>
      </w:r>
      <w:r w:rsidR="004977D2" w:rsidRPr="00E241A7">
        <w:rPr>
          <w:rFonts w:ascii="Arial" w:eastAsia="Arial" w:hAnsi="Arial" w:cs="Arial"/>
          <w:color w:val="000000"/>
          <w:sz w:val="22"/>
          <w:szCs w:val="22"/>
        </w:rPr>
        <w:t>works, expected</w:t>
      </w:r>
      <w:r w:rsidR="00CD461A" w:rsidRPr="00E241A7">
        <w:rPr>
          <w:rFonts w:ascii="Arial" w:eastAsia="Arial" w:hAnsi="Arial" w:cs="Arial"/>
          <w:color w:val="000000"/>
          <w:sz w:val="22"/>
          <w:szCs w:val="22"/>
        </w:rPr>
        <w:t xml:space="preserve"> in the </w:t>
      </w:r>
      <w:r w:rsidR="000D07E0" w:rsidRPr="00E241A7">
        <w:rPr>
          <w:rFonts w:ascii="Arial" w:eastAsia="Arial" w:hAnsi="Arial" w:cs="Arial"/>
          <w:color w:val="000000"/>
          <w:sz w:val="22"/>
          <w:szCs w:val="22"/>
        </w:rPr>
        <w:t xml:space="preserve">last </w:t>
      </w:r>
      <w:r w:rsidR="00CD461A" w:rsidRPr="00E241A7">
        <w:rPr>
          <w:rFonts w:ascii="Arial" w:eastAsia="Arial" w:hAnsi="Arial" w:cs="Arial"/>
          <w:color w:val="000000"/>
          <w:sz w:val="22"/>
          <w:szCs w:val="22"/>
        </w:rPr>
        <w:t xml:space="preserve">quarter </w:t>
      </w:r>
      <w:r w:rsidR="000D07E0" w:rsidRPr="00E241A7">
        <w:rPr>
          <w:rFonts w:ascii="Arial" w:eastAsia="Arial" w:hAnsi="Arial" w:cs="Arial"/>
          <w:color w:val="000000"/>
          <w:sz w:val="22"/>
          <w:szCs w:val="22"/>
        </w:rPr>
        <w:t xml:space="preserve">of </w:t>
      </w:r>
      <w:r w:rsidR="00CD461A" w:rsidRPr="00E241A7">
        <w:rPr>
          <w:rFonts w:ascii="Arial" w:eastAsia="Arial" w:hAnsi="Arial" w:cs="Arial"/>
          <w:color w:val="000000"/>
          <w:sz w:val="22"/>
          <w:szCs w:val="22"/>
        </w:rPr>
        <w:t>2023</w:t>
      </w:r>
      <w:r w:rsidR="00176A69">
        <w:rPr>
          <w:rFonts w:ascii="Arial" w:eastAsia="Arial" w:hAnsi="Arial" w:cs="Arial"/>
          <w:color w:val="000000"/>
          <w:sz w:val="22"/>
          <w:szCs w:val="22"/>
        </w:rPr>
        <w:t>.</w:t>
      </w:r>
    </w:p>
    <w:p w14:paraId="1B803F46" w14:textId="271D5E26" w:rsidR="00913FCE" w:rsidRPr="00E241A7" w:rsidRDefault="00044E26" w:rsidP="00044E26">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 xml:space="preserve">As part of the </w:t>
      </w:r>
      <w:hyperlink r:id="rId13" w:history="1">
        <w:r w:rsidRPr="00E241A7">
          <w:rPr>
            <w:rStyle w:val="Hyperlink"/>
            <w:rFonts w:ascii="Arial" w:eastAsia="Arial" w:hAnsi="Arial" w:cs="Arial"/>
            <w:sz w:val="22"/>
            <w:szCs w:val="22"/>
            <w:u w:val="single"/>
          </w:rPr>
          <w:t>Dare Forward 2030</w:t>
        </w:r>
      </w:hyperlink>
      <w:r w:rsidRPr="00E241A7">
        <w:rPr>
          <w:rFonts w:ascii="Arial" w:eastAsia="Arial" w:hAnsi="Arial" w:cs="Arial"/>
          <w:color w:val="000000"/>
          <w:sz w:val="22"/>
          <w:szCs w:val="22"/>
        </w:rPr>
        <w:t xml:space="preserve"> strategic plan, Stellantis announced plans of reaching 100% of </w:t>
      </w:r>
      <w:r w:rsidR="004977D2" w:rsidRPr="00E241A7">
        <w:rPr>
          <w:rFonts w:ascii="Arial" w:eastAsia="Arial" w:hAnsi="Arial" w:cs="Arial"/>
          <w:color w:val="000000"/>
          <w:sz w:val="22"/>
          <w:szCs w:val="22"/>
        </w:rPr>
        <w:t xml:space="preserve">the </w:t>
      </w:r>
      <w:r w:rsidRPr="00E241A7">
        <w:rPr>
          <w:rFonts w:ascii="Arial" w:eastAsia="Arial" w:hAnsi="Arial" w:cs="Arial"/>
          <w:color w:val="000000"/>
          <w:sz w:val="22"/>
          <w:szCs w:val="22"/>
        </w:rPr>
        <w:t xml:space="preserve">passenger car battery electric vehicle (BEV) sales mix in Europe and 50% </w:t>
      </w:r>
      <w:r w:rsidR="004977D2" w:rsidRPr="00E241A7">
        <w:rPr>
          <w:rFonts w:ascii="Arial" w:eastAsia="Arial" w:hAnsi="Arial" w:cs="Arial"/>
          <w:color w:val="000000"/>
          <w:sz w:val="22"/>
          <w:szCs w:val="22"/>
        </w:rPr>
        <w:t xml:space="preserve">of </w:t>
      </w:r>
      <w:r w:rsidRPr="00E241A7">
        <w:rPr>
          <w:rFonts w:ascii="Arial" w:eastAsia="Arial" w:hAnsi="Arial" w:cs="Arial"/>
          <w:color w:val="000000"/>
          <w:sz w:val="22"/>
          <w:szCs w:val="22"/>
        </w:rPr>
        <w:t xml:space="preserve">passenger car and light-duty truck BEV sales mix in the United States by 2030. Stellantis </w:t>
      </w:r>
      <w:r w:rsidR="0058020B">
        <w:rPr>
          <w:rFonts w:ascii="Arial" w:eastAsia="Arial" w:hAnsi="Arial" w:cs="Arial"/>
          <w:color w:val="000000"/>
          <w:sz w:val="22"/>
          <w:szCs w:val="22"/>
        </w:rPr>
        <w:t>aims to</w:t>
      </w:r>
      <w:r w:rsidRPr="00E241A7">
        <w:rPr>
          <w:rFonts w:ascii="Arial" w:eastAsia="Arial" w:hAnsi="Arial" w:cs="Arial"/>
          <w:color w:val="000000"/>
          <w:sz w:val="22"/>
          <w:szCs w:val="22"/>
        </w:rPr>
        <w:t xml:space="preserve"> </w:t>
      </w:r>
      <w:r w:rsidR="0058020B" w:rsidRPr="0058020B">
        <w:rPr>
          <w:rFonts w:ascii="Arial" w:eastAsia="Arial" w:hAnsi="Arial" w:cs="Arial"/>
          <w:color w:val="000000"/>
          <w:sz w:val="22"/>
          <w:szCs w:val="22"/>
        </w:rPr>
        <w:t>slash CO2 in half by 2030, benchmarking 2021 metrics, and achieve carbon net zero by 2038 with single digit percentage compensation of the remaining emissions.</w:t>
      </w:r>
      <w:r w:rsidR="00913FCE">
        <w:rPr>
          <w:rFonts w:ascii="Arial" w:eastAsia="Arial" w:hAnsi="Arial" w:cs="Arial"/>
          <w:color w:val="000000"/>
          <w:sz w:val="22"/>
          <w:szCs w:val="22"/>
        </w:rPr>
        <w:t xml:space="preserve"> </w:t>
      </w:r>
    </w:p>
    <w:p w14:paraId="3B55D44D" w14:textId="58B2564B" w:rsidR="00FD3C15" w:rsidRPr="00E241A7" w:rsidRDefault="00FD3C15" w:rsidP="00FD3C15">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 xml:space="preserve">Completion of the </w:t>
      </w:r>
      <w:r w:rsidR="002E69CE" w:rsidRPr="00E241A7">
        <w:rPr>
          <w:rFonts w:ascii="Arial" w:eastAsia="Arial" w:hAnsi="Arial" w:cs="Arial"/>
          <w:color w:val="000000"/>
          <w:sz w:val="22"/>
          <w:szCs w:val="22"/>
        </w:rPr>
        <w:t xml:space="preserve">binding offtake </w:t>
      </w:r>
      <w:r w:rsidRPr="00E241A7">
        <w:rPr>
          <w:rFonts w:ascii="Arial" w:eastAsia="Arial" w:hAnsi="Arial" w:cs="Arial"/>
          <w:color w:val="000000"/>
          <w:sz w:val="22"/>
          <w:szCs w:val="22"/>
        </w:rPr>
        <w:t xml:space="preserve">and </w:t>
      </w:r>
      <w:r w:rsidR="002E69CE" w:rsidRPr="00E241A7">
        <w:rPr>
          <w:rFonts w:ascii="Arial" w:eastAsia="Arial" w:hAnsi="Arial" w:cs="Arial"/>
          <w:color w:val="000000"/>
          <w:sz w:val="22"/>
          <w:szCs w:val="22"/>
        </w:rPr>
        <w:t xml:space="preserve">share subscription </w:t>
      </w:r>
      <w:r w:rsidRPr="00E241A7">
        <w:rPr>
          <w:rFonts w:ascii="Arial" w:eastAsia="Arial" w:hAnsi="Arial" w:cs="Arial"/>
          <w:color w:val="000000"/>
          <w:sz w:val="22"/>
          <w:szCs w:val="22"/>
        </w:rPr>
        <w:t>agreements are subject to customary closing conditions, including regulatory approvals.</w:t>
      </w:r>
    </w:p>
    <w:p w14:paraId="062597E8" w14:textId="30559F8A" w:rsidR="00044E26" w:rsidRPr="00E241A7" w:rsidRDefault="00FD3C15" w:rsidP="00044E26">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 xml:space="preserve">Stellantis is assembling a roster of key partnerships to ensure a stable supply of key materials for its electrified future. In addition to Alliance Nickel, Stellantis has partnerships with </w:t>
      </w:r>
      <w:hyperlink r:id="rId14" w:history="1">
        <w:r w:rsidRPr="0058020B">
          <w:rPr>
            <w:rStyle w:val="Hyperlink"/>
            <w:rFonts w:ascii="Arial" w:eastAsia="Arial" w:hAnsi="Arial" w:cs="Arial"/>
            <w:sz w:val="22"/>
            <w:szCs w:val="22"/>
            <w:u w:val="single"/>
          </w:rPr>
          <w:t>McEwen Copper</w:t>
        </w:r>
      </w:hyperlink>
      <w:r w:rsidRPr="00E241A7">
        <w:rPr>
          <w:rFonts w:ascii="Arial" w:eastAsia="Arial" w:hAnsi="Arial" w:cs="Arial"/>
          <w:color w:val="000000"/>
          <w:sz w:val="22"/>
          <w:szCs w:val="22"/>
        </w:rPr>
        <w:t xml:space="preserve">, </w:t>
      </w:r>
      <w:hyperlink r:id="rId15" w:history="1">
        <w:r w:rsidRPr="0058020B">
          <w:rPr>
            <w:rStyle w:val="Hyperlink"/>
            <w:rFonts w:ascii="Arial" w:eastAsia="Arial" w:hAnsi="Arial" w:cs="Arial"/>
            <w:sz w:val="22"/>
            <w:szCs w:val="22"/>
            <w:u w:val="single"/>
          </w:rPr>
          <w:t>Terrafame</w:t>
        </w:r>
      </w:hyperlink>
      <w:r w:rsidRPr="00E241A7">
        <w:rPr>
          <w:rFonts w:ascii="Arial" w:eastAsia="Arial" w:hAnsi="Arial" w:cs="Arial"/>
          <w:color w:val="000000"/>
          <w:sz w:val="22"/>
          <w:szCs w:val="22"/>
        </w:rPr>
        <w:t xml:space="preserve">, </w:t>
      </w:r>
      <w:hyperlink r:id="rId16" w:history="1">
        <w:r w:rsidRPr="0058020B">
          <w:rPr>
            <w:rStyle w:val="Hyperlink"/>
            <w:rFonts w:ascii="Arial" w:eastAsia="Arial" w:hAnsi="Arial" w:cs="Arial"/>
            <w:sz w:val="22"/>
            <w:szCs w:val="22"/>
            <w:u w:val="single"/>
          </w:rPr>
          <w:t>Vulcan Energy</w:t>
        </w:r>
      </w:hyperlink>
      <w:r w:rsidRPr="00E241A7">
        <w:rPr>
          <w:rFonts w:ascii="Arial" w:eastAsia="Arial" w:hAnsi="Arial" w:cs="Arial"/>
          <w:color w:val="000000"/>
          <w:sz w:val="22"/>
          <w:szCs w:val="22"/>
        </w:rPr>
        <w:t xml:space="preserve">, </w:t>
      </w:r>
      <w:hyperlink r:id="rId17" w:history="1">
        <w:r w:rsidRPr="0058020B">
          <w:rPr>
            <w:rStyle w:val="Hyperlink"/>
            <w:rFonts w:ascii="Arial" w:eastAsia="Arial" w:hAnsi="Arial" w:cs="Arial"/>
            <w:sz w:val="22"/>
            <w:szCs w:val="22"/>
            <w:u w:val="single"/>
          </w:rPr>
          <w:t>Element 25</w:t>
        </w:r>
      </w:hyperlink>
      <w:r w:rsidRPr="00E241A7">
        <w:rPr>
          <w:rFonts w:ascii="Arial" w:eastAsia="Arial" w:hAnsi="Arial" w:cs="Arial"/>
          <w:color w:val="000000"/>
          <w:sz w:val="22"/>
          <w:szCs w:val="22"/>
        </w:rPr>
        <w:t xml:space="preserve"> and </w:t>
      </w:r>
      <w:hyperlink r:id="rId18" w:history="1">
        <w:r w:rsidRPr="0058020B">
          <w:rPr>
            <w:rStyle w:val="Hyperlink"/>
            <w:rFonts w:ascii="Arial" w:eastAsia="Arial" w:hAnsi="Arial" w:cs="Arial"/>
            <w:sz w:val="22"/>
            <w:szCs w:val="22"/>
            <w:u w:val="single"/>
          </w:rPr>
          <w:t>Controlled Thermal Resources</w:t>
        </w:r>
      </w:hyperlink>
      <w:r w:rsidRPr="00E241A7">
        <w:rPr>
          <w:rFonts w:ascii="Arial" w:eastAsia="Arial" w:hAnsi="Arial" w:cs="Arial"/>
          <w:color w:val="000000"/>
          <w:sz w:val="22"/>
          <w:szCs w:val="22"/>
        </w:rPr>
        <w:t>.</w:t>
      </w:r>
      <w:r w:rsidR="00044E26" w:rsidRPr="00E241A7">
        <w:rPr>
          <w:rFonts w:ascii="Arial" w:eastAsia="Arial" w:hAnsi="Arial" w:cs="Arial"/>
          <w:color w:val="000000"/>
          <w:sz w:val="22"/>
          <w:szCs w:val="22"/>
        </w:rPr>
        <w:t xml:space="preserve"> </w:t>
      </w:r>
    </w:p>
    <w:p w14:paraId="2E5CA74B" w14:textId="7BECE320" w:rsidR="007F0624" w:rsidRPr="00E241A7" w:rsidRDefault="007F0624" w:rsidP="007F0624">
      <w:pPr>
        <w:jc w:val="center"/>
        <w:rPr>
          <w:rFonts w:ascii="Arial" w:eastAsia="Encode Sans" w:hAnsi="Arial" w:cs="Arial"/>
          <w:sz w:val="22"/>
          <w:szCs w:val="22"/>
        </w:rPr>
      </w:pPr>
      <w:r w:rsidRPr="00E241A7">
        <w:rPr>
          <w:rFonts w:ascii="Arial" w:eastAsia="Encode Sans" w:hAnsi="Arial" w:cs="Arial"/>
          <w:sz w:val="22"/>
          <w:szCs w:val="22"/>
        </w:rPr>
        <w:t># # #</w:t>
      </w:r>
    </w:p>
    <w:p w14:paraId="15F7AD6E" w14:textId="77777777" w:rsidR="007A1CD0" w:rsidRPr="00E241A7" w:rsidRDefault="007A1CD0" w:rsidP="00E653B0">
      <w:pPr>
        <w:spacing w:after="0"/>
        <w:rPr>
          <w:rFonts w:ascii="Arial" w:eastAsia="Times New Roman" w:hAnsi="Arial" w:cs="Arial"/>
          <w:b/>
          <w:bCs/>
          <w:sz w:val="22"/>
          <w:szCs w:val="22"/>
        </w:rPr>
      </w:pPr>
      <w:bookmarkStart w:id="0" w:name="_Hlk106354158"/>
    </w:p>
    <w:p w14:paraId="46D4EF33" w14:textId="7C2E441B" w:rsidR="00211BDA" w:rsidRPr="0058020B" w:rsidRDefault="00211BDA" w:rsidP="00E653B0">
      <w:pPr>
        <w:spacing w:after="0"/>
        <w:rPr>
          <w:rFonts w:ascii="Arial" w:eastAsia="Times New Roman" w:hAnsi="Arial" w:cs="Arial"/>
          <w:b/>
          <w:bCs/>
          <w:sz w:val="20"/>
          <w:szCs w:val="20"/>
        </w:rPr>
      </w:pPr>
      <w:r w:rsidRPr="0058020B">
        <w:rPr>
          <w:rFonts w:ascii="Arial" w:eastAsia="Times New Roman" w:hAnsi="Arial" w:cs="Arial"/>
          <w:b/>
          <w:bCs/>
          <w:sz w:val="20"/>
          <w:szCs w:val="20"/>
        </w:rPr>
        <w:t>About Stellantis</w:t>
      </w:r>
    </w:p>
    <w:bookmarkEnd w:id="0"/>
    <w:p w14:paraId="4B1252EB" w14:textId="2E4C40A2" w:rsidR="009D782E" w:rsidRPr="0058020B" w:rsidRDefault="00C87382">
      <w:pPr>
        <w:pBdr>
          <w:top w:val="nil"/>
          <w:left w:val="nil"/>
          <w:bottom w:val="nil"/>
          <w:right w:val="nil"/>
          <w:between w:val="nil"/>
        </w:pBdr>
        <w:spacing w:after="0"/>
        <w:jc w:val="left"/>
        <w:rPr>
          <w:rFonts w:ascii="Arial" w:eastAsia="Arial" w:hAnsi="Arial" w:cs="Arial"/>
          <w:iCs/>
          <w:color w:val="000000"/>
          <w:sz w:val="20"/>
          <w:szCs w:val="20"/>
        </w:rPr>
      </w:pPr>
      <w:r w:rsidRPr="0058020B">
        <w:rPr>
          <w:rFonts w:ascii="Arial" w:eastAsia="Times New Roman" w:hAnsi="Arial" w:cs="Arial"/>
          <w:i/>
          <w:iCs/>
          <w:sz w:val="20"/>
          <w:szCs w:val="20"/>
        </w:rPr>
        <w:t>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p w14:paraId="5ACDCE29" w14:textId="77777777" w:rsidR="00C87382" w:rsidRPr="0058020B" w:rsidRDefault="00C87382" w:rsidP="005C533B">
      <w:pPr>
        <w:spacing w:after="0"/>
        <w:jc w:val="left"/>
        <w:rPr>
          <w:rFonts w:ascii="Arial" w:eastAsia="Times New Roman" w:hAnsi="Arial" w:cs="Arial"/>
          <w:b/>
          <w:bCs/>
          <w:sz w:val="20"/>
          <w:szCs w:val="20"/>
          <w:lang w:val="en-AU"/>
        </w:rPr>
      </w:pPr>
    </w:p>
    <w:p w14:paraId="2BB1DB2F" w14:textId="3E58414C" w:rsidR="005C533B" w:rsidRPr="0058020B" w:rsidRDefault="005C533B" w:rsidP="005C533B">
      <w:pPr>
        <w:spacing w:after="0"/>
        <w:jc w:val="left"/>
        <w:rPr>
          <w:rFonts w:ascii="Arial" w:eastAsia="Times New Roman" w:hAnsi="Arial" w:cs="Arial"/>
          <w:b/>
          <w:bCs/>
          <w:sz w:val="20"/>
          <w:szCs w:val="20"/>
          <w:lang w:val="en-AU"/>
        </w:rPr>
      </w:pPr>
      <w:r w:rsidRPr="0058020B">
        <w:rPr>
          <w:rFonts w:ascii="Arial" w:eastAsia="Times New Roman" w:hAnsi="Arial" w:cs="Arial"/>
          <w:b/>
          <w:bCs/>
          <w:sz w:val="20"/>
          <w:szCs w:val="20"/>
          <w:lang w:val="en-AU"/>
        </w:rPr>
        <w:t>About Alliance Nickel Limited</w:t>
      </w:r>
    </w:p>
    <w:p w14:paraId="61327795" w14:textId="561BCE70" w:rsidR="005C533B" w:rsidRPr="0058020B" w:rsidRDefault="005C533B" w:rsidP="005C533B">
      <w:pPr>
        <w:spacing w:after="0"/>
        <w:jc w:val="left"/>
        <w:rPr>
          <w:rFonts w:ascii="Arial" w:eastAsia="Times New Roman" w:hAnsi="Arial" w:cs="Arial"/>
          <w:sz w:val="20"/>
          <w:szCs w:val="20"/>
          <w:lang w:val="en-AU"/>
        </w:rPr>
      </w:pPr>
      <w:r w:rsidRPr="0058020B">
        <w:rPr>
          <w:rFonts w:ascii="Arial" w:eastAsia="Times New Roman" w:hAnsi="Arial" w:cs="Arial"/>
          <w:sz w:val="20"/>
          <w:szCs w:val="20"/>
          <w:lang w:val="en-AU"/>
        </w:rPr>
        <w:t xml:space="preserve">Alliance Nickel Limited is an ASX-listed nickel and Critical Minerals development company with its principal asset being its flagship 100% owned NiWest Nickel Cobalt Project containing one of the highest-grade undeveloped nickel laterite resources in Australia. The Project has access to existing primary mining infrastructure such as an established network of roads, a railway and gas pipeline and is strategically situated adjacent to Glencore’s Murrin Murrin Operations. The Company has completed a Pre-Feasibility Study which has confirmed the technical and economic viability of a heap leach and direct solvent extraction operation where it aims to manufacture low-cost, high-quality Class 1 nickel and cobalt </w:t>
      </w:r>
      <w:r w:rsidR="00F93D65" w:rsidRPr="0058020B">
        <w:rPr>
          <w:rFonts w:ascii="Arial" w:eastAsia="Times New Roman" w:hAnsi="Arial" w:cs="Arial"/>
          <w:sz w:val="20"/>
          <w:szCs w:val="20"/>
          <w:lang w:val="en-AU"/>
        </w:rPr>
        <w:t>sulphate</w:t>
      </w:r>
      <w:r w:rsidRPr="0058020B">
        <w:rPr>
          <w:rFonts w:ascii="Arial" w:eastAsia="Times New Roman" w:hAnsi="Arial" w:cs="Arial"/>
          <w:sz w:val="20"/>
          <w:szCs w:val="20"/>
          <w:lang w:val="en-AU"/>
        </w:rPr>
        <w:t xml:space="preserve"> for battery manufacturers and automakers in the Electric Vehicle (EV) sector. </w:t>
      </w:r>
    </w:p>
    <w:p w14:paraId="68228357" w14:textId="77777777" w:rsidR="005C533B" w:rsidRPr="00E241A7" w:rsidRDefault="005C533B" w:rsidP="005C533B">
      <w:pPr>
        <w:spacing w:after="0"/>
        <w:jc w:val="left"/>
        <w:rPr>
          <w:rFonts w:ascii="Arial" w:eastAsia="Times New Roman" w:hAnsi="Arial" w:cs="Arial"/>
          <w:sz w:val="22"/>
          <w:szCs w:val="22"/>
          <w:lang w:val="en-AU"/>
        </w:rPr>
      </w:pPr>
    </w:p>
    <w:p w14:paraId="295F216C" w14:textId="122683DE" w:rsidR="00DF61C4" w:rsidRPr="007A4423" w:rsidRDefault="005C533B" w:rsidP="005C533B">
      <w:pPr>
        <w:spacing w:after="0"/>
        <w:jc w:val="left"/>
        <w:rPr>
          <w:rFonts w:ascii="Arial" w:eastAsia="Times New Roman" w:hAnsi="Arial" w:cs="Arial"/>
          <w:sz w:val="20"/>
          <w:szCs w:val="20"/>
          <w:lang w:val="en-AU"/>
        </w:rPr>
      </w:pPr>
      <w:r w:rsidRPr="007A4423">
        <w:rPr>
          <w:rFonts w:ascii="Arial" w:eastAsia="Times New Roman" w:hAnsi="Arial" w:cs="Arial"/>
          <w:sz w:val="20"/>
          <w:szCs w:val="20"/>
          <w:lang w:val="en-AU"/>
        </w:rPr>
        <w:t xml:space="preserve">More information is available on the Alliance website at </w:t>
      </w:r>
      <w:hyperlink r:id="rId19" w:history="1">
        <w:r w:rsidRPr="007A4423">
          <w:rPr>
            <w:rStyle w:val="Hyperlink"/>
            <w:rFonts w:ascii="Arial" w:eastAsia="Times New Roman" w:hAnsi="Arial" w:cs="Arial"/>
            <w:sz w:val="20"/>
            <w:szCs w:val="20"/>
            <w:lang w:val="en-AU"/>
          </w:rPr>
          <w:t>www.alliancenickel.au</w:t>
        </w:r>
      </w:hyperlink>
    </w:p>
    <w:p w14:paraId="6E314FD1" w14:textId="77777777" w:rsidR="005C533B" w:rsidRPr="00E241A7" w:rsidRDefault="005C533B" w:rsidP="00211BDA">
      <w:pPr>
        <w:spacing w:after="0"/>
        <w:rPr>
          <w:rFonts w:ascii="Arial" w:eastAsia="Arial" w:hAnsi="Arial" w:cs="Arial"/>
          <w:b/>
          <w:sz w:val="22"/>
          <w:szCs w:val="22"/>
        </w:rPr>
      </w:pPr>
    </w:p>
    <w:p w14:paraId="09667F5E" w14:textId="4A31A91B" w:rsidR="00211BDA" w:rsidRPr="00E241A7" w:rsidRDefault="00211BDA" w:rsidP="00211BDA">
      <w:pPr>
        <w:spacing w:after="0"/>
        <w:rPr>
          <w:rFonts w:ascii="Arial" w:eastAsia="Arial" w:hAnsi="Arial" w:cs="Arial"/>
          <w:b/>
          <w:sz w:val="22"/>
          <w:szCs w:val="22"/>
          <w:lang w:val="fr-FR"/>
        </w:rPr>
      </w:pPr>
      <w:proofErr w:type="gramStart"/>
      <w:r w:rsidRPr="00E241A7">
        <w:rPr>
          <w:rFonts w:ascii="Arial" w:eastAsia="Arial" w:hAnsi="Arial" w:cs="Arial"/>
          <w:b/>
          <w:sz w:val="22"/>
          <w:szCs w:val="22"/>
          <w:lang w:val="fr-FR"/>
        </w:rPr>
        <w:t>Contacts:</w:t>
      </w:r>
      <w:proofErr w:type="gramEnd"/>
    </w:p>
    <w:p w14:paraId="3C30E1AF" w14:textId="77777777" w:rsidR="00211BDA" w:rsidRPr="00E241A7" w:rsidRDefault="00211BDA" w:rsidP="00211BDA">
      <w:pPr>
        <w:spacing w:after="0"/>
        <w:rPr>
          <w:rFonts w:ascii="Arial" w:eastAsiaTheme="minorEastAsia" w:hAnsi="Arial" w:cs="Arial"/>
          <w:sz w:val="22"/>
          <w:szCs w:val="22"/>
          <w:lang w:val="fr-FR"/>
        </w:rPr>
      </w:pPr>
    </w:p>
    <w:p w14:paraId="7ED2C733" w14:textId="77777777" w:rsidR="00211BDA" w:rsidRPr="00E241A7" w:rsidRDefault="00211BDA" w:rsidP="00211BDA">
      <w:pPr>
        <w:spacing w:after="0"/>
        <w:rPr>
          <w:rFonts w:ascii="Arial" w:hAnsi="Arial" w:cs="Arial"/>
          <w:b/>
          <w:bCs/>
          <w:sz w:val="22"/>
          <w:szCs w:val="22"/>
          <w:lang w:val="fr-FR"/>
        </w:rPr>
      </w:pPr>
      <w:bookmarkStart w:id="1" w:name="_Hlk115941120"/>
      <w:r w:rsidRPr="00E241A7">
        <w:rPr>
          <w:rFonts w:ascii="Arial" w:hAnsi="Arial" w:cs="Arial"/>
          <w:b/>
          <w:bCs/>
          <w:sz w:val="22"/>
          <w:szCs w:val="22"/>
          <w:lang w:val="fr-FR"/>
        </w:rPr>
        <w:t>Stellantis</w:t>
      </w:r>
    </w:p>
    <w:p w14:paraId="7730F5DF" w14:textId="77777777" w:rsidR="00211BDA" w:rsidRPr="00E241A7" w:rsidRDefault="00211BDA" w:rsidP="00211BDA">
      <w:pPr>
        <w:spacing w:after="0"/>
        <w:rPr>
          <w:rFonts w:ascii="Arial" w:hAnsi="Arial" w:cs="Arial"/>
          <w:sz w:val="22"/>
          <w:szCs w:val="22"/>
          <w:lang w:val="fr-FR"/>
        </w:rPr>
      </w:pPr>
    </w:p>
    <w:p w14:paraId="2C556014" w14:textId="77777777" w:rsidR="00211BDA" w:rsidRPr="0058020B" w:rsidRDefault="00211BDA" w:rsidP="00211BDA">
      <w:pPr>
        <w:tabs>
          <w:tab w:val="left" w:pos="2592"/>
        </w:tabs>
        <w:spacing w:after="0"/>
        <w:rPr>
          <w:rFonts w:ascii="Arial" w:eastAsia="Arial" w:hAnsi="Arial" w:cs="Arial"/>
          <w:b/>
          <w:bCs/>
          <w:sz w:val="18"/>
          <w:szCs w:val="18"/>
          <w:lang w:val="fr-FR"/>
        </w:rPr>
      </w:pPr>
      <w:r w:rsidRPr="0058020B">
        <w:rPr>
          <w:rFonts w:ascii="Arial" w:eastAsia="Arial" w:hAnsi="Arial" w:cs="Arial"/>
          <w:b/>
          <w:bCs/>
          <w:sz w:val="18"/>
          <w:szCs w:val="18"/>
          <w:lang w:val="fr-FR"/>
        </w:rPr>
        <w:t xml:space="preserve">Fernão Silveira </w:t>
      </w:r>
    </w:p>
    <w:p w14:paraId="6253A0AD" w14:textId="77777777" w:rsidR="00211BDA" w:rsidRPr="0058020B" w:rsidRDefault="00211BDA" w:rsidP="00211BDA">
      <w:pPr>
        <w:tabs>
          <w:tab w:val="left" w:pos="2592"/>
        </w:tabs>
        <w:spacing w:after="0"/>
        <w:rPr>
          <w:rFonts w:ascii="Arial" w:eastAsia="Arial" w:hAnsi="Arial" w:cs="Arial"/>
          <w:sz w:val="18"/>
          <w:szCs w:val="18"/>
          <w:lang w:val="fr-FR"/>
        </w:rPr>
      </w:pPr>
      <w:r w:rsidRPr="0058020B">
        <w:rPr>
          <w:rFonts w:ascii="Arial" w:eastAsia="Arial" w:hAnsi="Arial" w:cs="Arial"/>
          <w:sz w:val="18"/>
          <w:szCs w:val="18"/>
          <w:lang w:val="fr-FR"/>
        </w:rPr>
        <w:t>Global Communications / Stellantis</w:t>
      </w:r>
    </w:p>
    <w:p w14:paraId="367451AF" w14:textId="77777777" w:rsidR="008E1ACE" w:rsidRPr="0058020B" w:rsidRDefault="008E1ACE" w:rsidP="00211BDA">
      <w:pPr>
        <w:tabs>
          <w:tab w:val="left" w:pos="2592"/>
        </w:tabs>
        <w:spacing w:after="0"/>
        <w:rPr>
          <w:rFonts w:ascii="Arial" w:eastAsia="Arial" w:hAnsi="Arial" w:cs="Arial"/>
          <w:sz w:val="18"/>
          <w:szCs w:val="18"/>
        </w:rPr>
      </w:pPr>
      <w:r w:rsidRPr="0058020B">
        <w:rPr>
          <w:rFonts w:ascii="Arial" w:eastAsia="Arial" w:hAnsi="Arial" w:cs="Arial"/>
          <w:sz w:val="18"/>
          <w:szCs w:val="18"/>
        </w:rPr>
        <w:t>+31 6 43 25 43 41</w:t>
      </w:r>
    </w:p>
    <w:p w14:paraId="3D47FCA4" w14:textId="2471A283" w:rsidR="00211BDA" w:rsidRPr="0058020B" w:rsidRDefault="00211BDA" w:rsidP="00211BDA">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fernao.silveira@stellantis.com </w:t>
      </w:r>
    </w:p>
    <w:bookmarkEnd w:id="1"/>
    <w:p w14:paraId="6FA374A1" w14:textId="77777777" w:rsidR="00D013CE" w:rsidRPr="00E241A7" w:rsidRDefault="00D013CE" w:rsidP="00D013CE">
      <w:pPr>
        <w:tabs>
          <w:tab w:val="left" w:pos="2592"/>
        </w:tabs>
        <w:spacing w:after="0"/>
        <w:rPr>
          <w:rFonts w:ascii="Arial" w:eastAsia="Arial" w:hAnsi="Arial" w:cs="Arial"/>
          <w:b/>
          <w:bCs/>
          <w:sz w:val="22"/>
          <w:szCs w:val="22"/>
        </w:rPr>
      </w:pPr>
    </w:p>
    <w:p w14:paraId="62FF7A91" w14:textId="77777777" w:rsidR="00B07E73" w:rsidRPr="00E241A7" w:rsidRDefault="00B07E73" w:rsidP="00211BDA">
      <w:pPr>
        <w:tabs>
          <w:tab w:val="left" w:pos="2592"/>
        </w:tabs>
        <w:spacing w:after="0"/>
        <w:rPr>
          <w:rFonts w:ascii="Arial" w:eastAsia="Arial" w:hAnsi="Arial" w:cs="Arial"/>
          <w:b/>
          <w:bCs/>
          <w:sz w:val="22"/>
          <w:szCs w:val="22"/>
        </w:rPr>
      </w:pPr>
    </w:p>
    <w:p w14:paraId="34853F97" w14:textId="0188D732" w:rsidR="00C202F5" w:rsidRPr="00E241A7" w:rsidRDefault="005C533B" w:rsidP="00211BDA">
      <w:pPr>
        <w:tabs>
          <w:tab w:val="left" w:pos="2592"/>
        </w:tabs>
        <w:spacing w:after="0"/>
        <w:rPr>
          <w:rFonts w:ascii="Arial" w:eastAsia="Arial" w:hAnsi="Arial" w:cs="Arial"/>
          <w:b/>
          <w:bCs/>
          <w:sz w:val="22"/>
          <w:szCs w:val="22"/>
        </w:rPr>
      </w:pPr>
      <w:r w:rsidRPr="00E241A7">
        <w:rPr>
          <w:rFonts w:ascii="Arial" w:eastAsia="Arial" w:hAnsi="Arial" w:cs="Arial"/>
          <w:b/>
          <w:bCs/>
          <w:sz w:val="22"/>
          <w:szCs w:val="22"/>
        </w:rPr>
        <w:t>Alliance Nickel</w:t>
      </w:r>
      <w:r w:rsidR="00C202F5" w:rsidRPr="00E241A7">
        <w:rPr>
          <w:rFonts w:ascii="Arial" w:eastAsia="Arial" w:hAnsi="Arial" w:cs="Arial"/>
          <w:b/>
          <w:bCs/>
          <w:sz w:val="22"/>
          <w:szCs w:val="22"/>
        </w:rPr>
        <w:t xml:space="preserve"> Limited</w:t>
      </w:r>
    </w:p>
    <w:p w14:paraId="791A6BA4" w14:textId="77777777" w:rsidR="00D013CE" w:rsidRPr="00E241A7" w:rsidRDefault="00D013CE" w:rsidP="00D013CE">
      <w:pPr>
        <w:tabs>
          <w:tab w:val="left" w:pos="2592"/>
        </w:tabs>
        <w:spacing w:after="0"/>
        <w:rPr>
          <w:rFonts w:ascii="Arial" w:eastAsia="Arial" w:hAnsi="Arial" w:cs="Arial"/>
          <w:b/>
          <w:bCs/>
          <w:sz w:val="22"/>
          <w:szCs w:val="22"/>
        </w:rPr>
      </w:pPr>
    </w:p>
    <w:p w14:paraId="4024FF1B" w14:textId="7E28AA4E" w:rsidR="00D013CE" w:rsidRPr="0058020B" w:rsidRDefault="00D013CE" w:rsidP="00D013CE">
      <w:pPr>
        <w:tabs>
          <w:tab w:val="left" w:pos="2592"/>
        </w:tabs>
        <w:spacing w:after="0"/>
        <w:rPr>
          <w:rFonts w:ascii="Arial" w:eastAsia="Arial" w:hAnsi="Arial" w:cs="Arial"/>
          <w:b/>
          <w:bCs/>
          <w:sz w:val="18"/>
          <w:szCs w:val="18"/>
        </w:rPr>
      </w:pPr>
      <w:r w:rsidRPr="0058020B">
        <w:rPr>
          <w:rFonts w:ascii="Arial" w:eastAsia="Arial" w:hAnsi="Arial" w:cs="Arial"/>
          <w:b/>
          <w:bCs/>
          <w:sz w:val="18"/>
          <w:szCs w:val="18"/>
        </w:rPr>
        <w:t xml:space="preserve">Paul Kopejtka  </w:t>
      </w:r>
    </w:p>
    <w:p w14:paraId="665B8FD7" w14:textId="7AF767F9"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Managing Director </w:t>
      </w:r>
      <w:r w:rsidR="00B272C1" w:rsidRPr="0058020B">
        <w:rPr>
          <w:rFonts w:ascii="Arial" w:eastAsia="Arial" w:hAnsi="Arial" w:cs="Arial"/>
          <w:sz w:val="18"/>
          <w:szCs w:val="18"/>
        </w:rPr>
        <w:t>and CEO</w:t>
      </w:r>
    </w:p>
    <w:p w14:paraId="61AA0D8F" w14:textId="77777777"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Perth, Western Australia  </w:t>
      </w:r>
    </w:p>
    <w:p w14:paraId="410D7402" w14:textId="286B6D00"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+61 8 </w:t>
      </w:r>
      <w:r w:rsidR="00AD12DA">
        <w:rPr>
          <w:rFonts w:ascii="Arial" w:eastAsia="Arial" w:hAnsi="Arial" w:cs="Arial"/>
          <w:sz w:val="18"/>
          <w:szCs w:val="18"/>
        </w:rPr>
        <w:t>6182 2718</w:t>
      </w:r>
    </w:p>
    <w:p w14:paraId="5C1B94B6" w14:textId="3C417191"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info@</w:t>
      </w:r>
      <w:r w:rsidR="00EB4114">
        <w:rPr>
          <w:rFonts w:ascii="Arial" w:eastAsia="Arial" w:hAnsi="Arial" w:cs="Arial"/>
          <w:sz w:val="18"/>
          <w:szCs w:val="18"/>
        </w:rPr>
        <w:t>alliancenickel</w:t>
      </w:r>
      <w:r w:rsidRPr="0058020B">
        <w:rPr>
          <w:rFonts w:ascii="Arial" w:eastAsia="Arial" w:hAnsi="Arial" w:cs="Arial"/>
          <w:sz w:val="18"/>
          <w:szCs w:val="18"/>
        </w:rPr>
        <w:t>.au</w:t>
      </w:r>
    </w:p>
    <w:p w14:paraId="407C22E6" w14:textId="7E218C39" w:rsidR="00D013CE" w:rsidRPr="0058020B" w:rsidRDefault="00D013CE" w:rsidP="00211BDA">
      <w:pPr>
        <w:tabs>
          <w:tab w:val="left" w:pos="2592"/>
        </w:tabs>
        <w:spacing w:after="0"/>
        <w:rPr>
          <w:rFonts w:ascii="Arial" w:eastAsia="Arial" w:hAnsi="Arial" w:cs="Arial"/>
          <w:b/>
          <w:bCs/>
          <w:sz w:val="18"/>
          <w:szCs w:val="18"/>
        </w:rPr>
      </w:pPr>
    </w:p>
    <w:p w14:paraId="5E28EE9E" w14:textId="77777777" w:rsidR="00D013CE" w:rsidRPr="0058020B" w:rsidRDefault="00D013CE" w:rsidP="00D013CE">
      <w:pPr>
        <w:tabs>
          <w:tab w:val="left" w:pos="2592"/>
        </w:tabs>
        <w:spacing w:after="0"/>
        <w:rPr>
          <w:rFonts w:ascii="Arial" w:eastAsia="Arial" w:hAnsi="Arial" w:cs="Arial"/>
          <w:b/>
          <w:bCs/>
          <w:sz w:val="18"/>
          <w:szCs w:val="18"/>
        </w:rPr>
      </w:pPr>
      <w:r w:rsidRPr="0058020B">
        <w:rPr>
          <w:rFonts w:ascii="Arial" w:eastAsia="Arial" w:hAnsi="Arial" w:cs="Arial"/>
          <w:b/>
          <w:bCs/>
          <w:sz w:val="18"/>
          <w:szCs w:val="18"/>
        </w:rPr>
        <w:t xml:space="preserve">Michael Vaughan </w:t>
      </w:r>
    </w:p>
    <w:p w14:paraId="6356FBE3" w14:textId="77777777"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Fivemark Partners </w:t>
      </w:r>
    </w:p>
    <w:p w14:paraId="1B0A212A" w14:textId="77777777"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Perth, Western Australia </w:t>
      </w:r>
    </w:p>
    <w:p w14:paraId="6EDBA433" w14:textId="77777777"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+61 422 602 720 </w:t>
      </w:r>
    </w:p>
    <w:p w14:paraId="680D63AF" w14:textId="3C283DE7" w:rsidR="00D013CE" w:rsidRPr="0058020B" w:rsidRDefault="00D013CE" w:rsidP="00D013CE">
      <w:pPr>
        <w:tabs>
          <w:tab w:val="left" w:pos="2592"/>
        </w:tabs>
        <w:spacing w:after="0"/>
        <w:rPr>
          <w:rFonts w:ascii="Arial" w:eastAsia="Arial" w:hAnsi="Arial" w:cs="Arial"/>
          <w:sz w:val="18"/>
          <w:szCs w:val="18"/>
        </w:rPr>
      </w:pPr>
      <w:r w:rsidRPr="0058020B">
        <w:rPr>
          <w:rFonts w:ascii="Arial" w:eastAsia="Arial" w:hAnsi="Arial" w:cs="Arial"/>
          <w:sz w:val="18"/>
          <w:szCs w:val="18"/>
        </w:rPr>
        <w:t>michael.vaughan@fivemark.com.au</w:t>
      </w:r>
    </w:p>
    <w:p w14:paraId="6C24A05C" w14:textId="77777777" w:rsidR="00C202F5" w:rsidRPr="00E241A7" w:rsidRDefault="00C202F5" w:rsidP="00914E09">
      <w:pPr>
        <w:rPr>
          <w:rFonts w:ascii="Arial" w:hAnsi="Arial" w:cs="Arial"/>
          <w:b/>
          <w:bCs/>
          <w:sz w:val="18"/>
          <w:szCs w:val="18"/>
        </w:rPr>
      </w:pPr>
    </w:p>
    <w:p w14:paraId="70B0D9A4" w14:textId="77777777" w:rsidR="007D2596" w:rsidRDefault="007D2596">
      <w:pPr>
        <w:rPr>
          <w:rFonts w:ascii="Arial" w:eastAsia="Encode Sans" w:hAnsi="Arial" w:cs="Arial"/>
          <w:b/>
          <w:bCs/>
          <w:i/>
          <w:sz w:val="18"/>
          <w:szCs w:val="18"/>
        </w:rPr>
      </w:pPr>
      <w:r>
        <w:rPr>
          <w:rFonts w:ascii="Arial" w:eastAsia="Encode Sans" w:hAnsi="Arial" w:cs="Arial"/>
          <w:b/>
          <w:bCs/>
          <w:i/>
          <w:sz w:val="18"/>
          <w:szCs w:val="18"/>
        </w:rPr>
        <w:br w:type="page"/>
      </w:r>
    </w:p>
    <w:p w14:paraId="7EFE1017" w14:textId="291A4AB5" w:rsidR="004F3039" w:rsidRPr="00E241A7" w:rsidRDefault="004F3039" w:rsidP="004F3039">
      <w:pPr>
        <w:spacing w:before="240"/>
        <w:rPr>
          <w:rFonts w:ascii="Arial" w:eastAsia="Encode Sans" w:hAnsi="Arial" w:cs="Arial"/>
          <w:b/>
          <w:bCs/>
          <w:i/>
          <w:sz w:val="18"/>
          <w:szCs w:val="18"/>
        </w:rPr>
      </w:pPr>
      <w:r w:rsidRPr="00E241A7">
        <w:rPr>
          <w:rFonts w:ascii="Arial" w:eastAsia="Encode Sans" w:hAnsi="Arial" w:cs="Arial"/>
          <w:b/>
          <w:bCs/>
          <w:i/>
          <w:sz w:val="18"/>
          <w:szCs w:val="18"/>
        </w:rPr>
        <w:lastRenderedPageBreak/>
        <w:t>STELLANTIS FORWARD-LOOKING STATEMENTS</w:t>
      </w:r>
    </w:p>
    <w:p w14:paraId="1EB6F988" w14:textId="77777777" w:rsidR="0058020B" w:rsidRP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This communication contains forward-looking statements. </w:t>
      </w:r>
      <w:proofErr w:type="gramStart"/>
      <w:r w:rsidRPr="0058020B">
        <w:rPr>
          <w:rFonts w:ascii="Arial" w:eastAsia="Encode Sans" w:hAnsi="Arial" w:cs="Arial"/>
          <w:i/>
          <w:sz w:val="18"/>
          <w:szCs w:val="18"/>
        </w:rPr>
        <w:t>In particular, statements</w:t>
      </w:r>
      <w:proofErr w:type="gramEnd"/>
      <w:r w:rsidRPr="0058020B">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C8F939F" w14:textId="77777777" w:rsidR="0058020B" w:rsidRP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2BA3761" w14:textId="77777777" w:rsid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1C8A0783" w14:textId="54B36F1B" w:rsidR="00C77EDC" w:rsidRPr="00E241A7" w:rsidRDefault="00A10206" w:rsidP="0058020B">
      <w:pPr>
        <w:spacing w:before="240"/>
        <w:rPr>
          <w:rFonts w:ascii="Arial" w:eastAsia="Encode Sans" w:hAnsi="Arial" w:cs="Arial"/>
          <w:b/>
          <w:bCs/>
          <w:i/>
          <w:sz w:val="18"/>
          <w:szCs w:val="18"/>
        </w:rPr>
      </w:pPr>
      <w:r w:rsidRPr="00E241A7">
        <w:rPr>
          <w:rFonts w:ascii="Arial" w:eastAsia="Encode Sans" w:hAnsi="Arial" w:cs="Arial"/>
          <w:b/>
          <w:bCs/>
          <w:i/>
          <w:sz w:val="18"/>
          <w:szCs w:val="18"/>
        </w:rPr>
        <w:t xml:space="preserve">Alliance </w:t>
      </w:r>
      <w:r w:rsidR="00C77EDC" w:rsidRPr="00E241A7">
        <w:rPr>
          <w:rFonts w:ascii="Arial" w:eastAsia="Encode Sans" w:hAnsi="Arial" w:cs="Arial"/>
          <w:b/>
          <w:bCs/>
          <w:i/>
          <w:sz w:val="18"/>
          <w:szCs w:val="18"/>
        </w:rPr>
        <w:t xml:space="preserve">Forward Looking Statement </w:t>
      </w:r>
    </w:p>
    <w:p w14:paraId="764F00CE" w14:textId="77777777" w:rsidR="00C77EDC" w:rsidRPr="00E241A7" w:rsidRDefault="00C77EDC" w:rsidP="00C77EDC">
      <w:pPr>
        <w:spacing w:before="120"/>
        <w:rPr>
          <w:rFonts w:ascii="Arial" w:eastAsia="Encode Sans" w:hAnsi="Arial" w:cs="Arial"/>
          <w:i/>
          <w:sz w:val="18"/>
          <w:szCs w:val="18"/>
        </w:rPr>
      </w:pPr>
      <w:r w:rsidRPr="00E241A7">
        <w:rPr>
          <w:rFonts w:ascii="Arial" w:eastAsia="Encode Sans" w:hAnsi="Arial" w:cs="Arial"/>
          <w:i/>
          <w:sz w:val="18"/>
          <w:szCs w:val="18"/>
        </w:rPr>
        <w:t>This announcement contains statements related to our future business and financial performance and future events or developments involving Alliance Nickel Limited (Alliance) that may constitute forward-looking statements. These statements may be identified by words such as “potential”, “exploitable”, “proposed open pit", “evaluation”, “expect," "future," "further," "operation, “development, "plan," "permitting”, "approvals”, “processing agreement” or words of similar meaning. Such statements are based on the current expectations and certain assumptions of Alliance management &amp; consultants, and are, therefore, subject to certain risks and uncertainties. A variety of factors, many of which are beyond Alliance’s control, affect our operations, performance, business strategy and results and could cause the actual results, performance or achievements of Alliance to be materially different from any future results, performance or achievements that may be expressed or implied by such forward-looking statements.</w:t>
      </w:r>
    </w:p>
    <w:p w14:paraId="4FDEE555" w14:textId="77777777" w:rsidR="00C77EDC" w:rsidRPr="00E241A7" w:rsidRDefault="00C77EDC" w:rsidP="00C77EDC">
      <w:pPr>
        <w:rPr>
          <w:rFonts w:ascii="Arial" w:eastAsia="Encode Sans" w:hAnsi="Arial" w:cs="Arial"/>
          <w:i/>
          <w:sz w:val="18"/>
          <w:szCs w:val="18"/>
        </w:rPr>
      </w:pPr>
    </w:p>
    <w:p w14:paraId="1E760339" w14:textId="77777777" w:rsidR="00C77EDC" w:rsidRPr="00E241A7" w:rsidRDefault="00C77EDC" w:rsidP="004F3039">
      <w:pPr>
        <w:spacing w:before="240"/>
        <w:rPr>
          <w:rFonts w:ascii="Arial" w:hAnsi="Arial" w:cs="Arial"/>
          <w:b/>
          <w:i/>
          <w:sz w:val="16"/>
          <w:szCs w:val="16"/>
        </w:rPr>
      </w:pPr>
    </w:p>
    <w:sectPr w:rsidR="00C77EDC" w:rsidRPr="00E241A7" w:rsidSect="00C202F5">
      <w:footerReference w:type="default" r:id="rId20"/>
      <w:headerReference w:type="first" r:id="rId21"/>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B30A" w14:textId="77777777" w:rsidR="00997486" w:rsidRDefault="00997486">
      <w:pPr>
        <w:spacing w:after="0"/>
      </w:pPr>
      <w:r>
        <w:separator/>
      </w:r>
    </w:p>
  </w:endnote>
  <w:endnote w:type="continuationSeparator" w:id="0">
    <w:p w14:paraId="5AD869FC" w14:textId="77777777" w:rsidR="00997486" w:rsidRDefault="0099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Calibri"/>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11F4" w14:textId="77777777" w:rsidR="00997486" w:rsidRDefault="00997486">
      <w:pPr>
        <w:spacing w:after="0"/>
      </w:pPr>
      <w:r>
        <w:separator/>
      </w:r>
    </w:p>
  </w:footnote>
  <w:footnote w:type="continuationSeparator" w:id="0">
    <w:p w14:paraId="61A7C9B2" w14:textId="77777777" w:rsidR="00997486" w:rsidRDefault="009974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608" w14:textId="73B17864" w:rsidR="00E241A7" w:rsidRDefault="00E241A7">
    <w:pPr>
      <w:pStyle w:val="Header"/>
    </w:pPr>
    <w:r>
      <w:rPr>
        <w:noProof/>
      </w:rPr>
      <w:drawing>
        <wp:inline distT="0" distB="0" distL="0" distR="0" wp14:anchorId="7A6493A1" wp14:editId="2FB2203C">
          <wp:extent cx="5325110" cy="7289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325110"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4704591">
    <w:abstractNumId w:val="0"/>
  </w:num>
  <w:num w:numId="2" w16cid:durableId="176359381">
    <w:abstractNumId w:val="1"/>
  </w:num>
  <w:num w:numId="3" w16cid:durableId="30732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39C"/>
    <w:rsid w:val="000127F3"/>
    <w:rsid w:val="00015FDB"/>
    <w:rsid w:val="00020A0F"/>
    <w:rsid w:val="00023B89"/>
    <w:rsid w:val="000403C6"/>
    <w:rsid w:val="00044E26"/>
    <w:rsid w:val="0006441F"/>
    <w:rsid w:val="000661DE"/>
    <w:rsid w:val="0008041C"/>
    <w:rsid w:val="000833E0"/>
    <w:rsid w:val="00096BB8"/>
    <w:rsid w:val="000B0968"/>
    <w:rsid w:val="000B2E42"/>
    <w:rsid w:val="000C5A52"/>
    <w:rsid w:val="000D07E0"/>
    <w:rsid w:val="000D0AC3"/>
    <w:rsid w:val="000F7479"/>
    <w:rsid w:val="00100E33"/>
    <w:rsid w:val="0011344A"/>
    <w:rsid w:val="00115CA3"/>
    <w:rsid w:val="00123307"/>
    <w:rsid w:val="00134F8D"/>
    <w:rsid w:val="00136AC8"/>
    <w:rsid w:val="001408C0"/>
    <w:rsid w:val="0016045E"/>
    <w:rsid w:val="00162B39"/>
    <w:rsid w:val="00172B2C"/>
    <w:rsid w:val="00176A69"/>
    <w:rsid w:val="0019432C"/>
    <w:rsid w:val="00195133"/>
    <w:rsid w:val="001A14C2"/>
    <w:rsid w:val="001A25FF"/>
    <w:rsid w:val="001A3B61"/>
    <w:rsid w:val="001B7F90"/>
    <w:rsid w:val="001C1D40"/>
    <w:rsid w:val="001D10B3"/>
    <w:rsid w:val="001D2376"/>
    <w:rsid w:val="001D24A4"/>
    <w:rsid w:val="001E145E"/>
    <w:rsid w:val="00202659"/>
    <w:rsid w:val="0020268D"/>
    <w:rsid w:val="00206526"/>
    <w:rsid w:val="002074AC"/>
    <w:rsid w:val="00211BDA"/>
    <w:rsid w:val="00214934"/>
    <w:rsid w:val="002232A1"/>
    <w:rsid w:val="00243FC4"/>
    <w:rsid w:val="00245789"/>
    <w:rsid w:val="00247709"/>
    <w:rsid w:val="0025678C"/>
    <w:rsid w:val="00263AD6"/>
    <w:rsid w:val="00267761"/>
    <w:rsid w:val="00287CED"/>
    <w:rsid w:val="002B72BF"/>
    <w:rsid w:val="002C77BE"/>
    <w:rsid w:val="002D1821"/>
    <w:rsid w:val="002D43AD"/>
    <w:rsid w:val="002D67E6"/>
    <w:rsid w:val="002D6E8E"/>
    <w:rsid w:val="002E3C8F"/>
    <w:rsid w:val="002E69CE"/>
    <w:rsid w:val="003011A4"/>
    <w:rsid w:val="003062BC"/>
    <w:rsid w:val="00306BC9"/>
    <w:rsid w:val="003118AB"/>
    <w:rsid w:val="0034475B"/>
    <w:rsid w:val="003712EF"/>
    <w:rsid w:val="00374F28"/>
    <w:rsid w:val="0037579C"/>
    <w:rsid w:val="003C0EBE"/>
    <w:rsid w:val="003C5A36"/>
    <w:rsid w:val="003D21DF"/>
    <w:rsid w:val="003D756D"/>
    <w:rsid w:val="00401F74"/>
    <w:rsid w:val="00410120"/>
    <w:rsid w:val="00413E9B"/>
    <w:rsid w:val="0041544A"/>
    <w:rsid w:val="00424B0D"/>
    <w:rsid w:val="00432165"/>
    <w:rsid w:val="00481F4D"/>
    <w:rsid w:val="00492DDE"/>
    <w:rsid w:val="00495D4A"/>
    <w:rsid w:val="004977D2"/>
    <w:rsid w:val="004B14A5"/>
    <w:rsid w:val="004C37B7"/>
    <w:rsid w:val="004C48ED"/>
    <w:rsid w:val="004D60BA"/>
    <w:rsid w:val="004E29EF"/>
    <w:rsid w:val="004E387D"/>
    <w:rsid w:val="004E3DDE"/>
    <w:rsid w:val="004F0A2C"/>
    <w:rsid w:val="004F2150"/>
    <w:rsid w:val="004F3039"/>
    <w:rsid w:val="004F3BE9"/>
    <w:rsid w:val="004F7329"/>
    <w:rsid w:val="005062F7"/>
    <w:rsid w:val="005073F1"/>
    <w:rsid w:val="005079D0"/>
    <w:rsid w:val="00512922"/>
    <w:rsid w:val="00516057"/>
    <w:rsid w:val="00525726"/>
    <w:rsid w:val="00547AF9"/>
    <w:rsid w:val="0055767E"/>
    <w:rsid w:val="00563469"/>
    <w:rsid w:val="00572D4A"/>
    <w:rsid w:val="0058020B"/>
    <w:rsid w:val="0058367F"/>
    <w:rsid w:val="005872A0"/>
    <w:rsid w:val="00594BD8"/>
    <w:rsid w:val="0059767C"/>
    <w:rsid w:val="005B0E86"/>
    <w:rsid w:val="005C533B"/>
    <w:rsid w:val="005E4EB5"/>
    <w:rsid w:val="00603F18"/>
    <w:rsid w:val="0061766E"/>
    <w:rsid w:val="00625C11"/>
    <w:rsid w:val="006262D2"/>
    <w:rsid w:val="00627EDB"/>
    <w:rsid w:val="00631BCB"/>
    <w:rsid w:val="006616BE"/>
    <w:rsid w:val="006679B2"/>
    <w:rsid w:val="00677729"/>
    <w:rsid w:val="00680D18"/>
    <w:rsid w:val="006863D0"/>
    <w:rsid w:val="006B0CEC"/>
    <w:rsid w:val="006B2EB2"/>
    <w:rsid w:val="006C58BE"/>
    <w:rsid w:val="0071156E"/>
    <w:rsid w:val="0071381F"/>
    <w:rsid w:val="007376E7"/>
    <w:rsid w:val="00745364"/>
    <w:rsid w:val="00745A7B"/>
    <w:rsid w:val="0076578D"/>
    <w:rsid w:val="00786615"/>
    <w:rsid w:val="00794DDC"/>
    <w:rsid w:val="007A17A2"/>
    <w:rsid w:val="007A1CD0"/>
    <w:rsid w:val="007A4423"/>
    <w:rsid w:val="007B698C"/>
    <w:rsid w:val="007C5570"/>
    <w:rsid w:val="007D2596"/>
    <w:rsid w:val="007F0624"/>
    <w:rsid w:val="007F30E2"/>
    <w:rsid w:val="008018C5"/>
    <w:rsid w:val="008170F0"/>
    <w:rsid w:val="00837A76"/>
    <w:rsid w:val="008535C7"/>
    <w:rsid w:val="00854542"/>
    <w:rsid w:val="00854923"/>
    <w:rsid w:val="00861B7A"/>
    <w:rsid w:val="00881AB2"/>
    <w:rsid w:val="00894729"/>
    <w:rsid w:val="0089621D"/>
    <w:rsid w:val="0089685C"/>
    <w:rsid w:val="008A0E8A"/>
    <w:rsid w:val="008B0A0F"/>
    <w:rsid w:val="008B2BF5"/>
    <w:rsid w:val="008C60D4"/>
    <w:rsid w:val="008D26D0"/>
    <w:rsid w:val="008E1ACE"/>
    <w:rsid w:val="008F269A"/>
    <w:rsid w:val="008F4551"/>
    <w:rsid w:val="00907495"/>
    <w:rsid w:val="00913FCE"/>
    <w:rsid w:val="00914E09"/>
    <w:rsid w:val="00914ED6"/>
    <w:rsid w:val="00925DB9"/>
    <w:rsid w:val="00945F1A"/>
    <w:rsid w:val="00964EE7"/>
    <w:rsid w:val="00967C88"/>
    <w:rsid w:val="00980D9E"/>
    <w:rsid w:val="00990BE3"/>
    <w:rsid w:val="00991B50"/>
    <w:rsid w:val="00996297"/>
    <w:rsid w:val="00997486"/>
    <w:rsid w:val="0099793C"/>
    <w:rsid w:val="009A2719"/>
    <w:rsid w:val="009A5024"/>
    <w:rsid w:val="009B0CB9"/>
    <w:rsid w:val="009B2260"/>
    <w:rsid w:val="009B3485"/>
    <w:rsid w:val="009B5C3F"/>
    <w:rsid w:val="009C39C6"/>
    <w:rsid w:val="009C4A55"/>
    <w:rsid w:val="009D083B"/>
    <w:rsid w:val="009D5DC6"/>
    <w:rsid w:val="009D782E"/>
    <w:rsid w:val="009D7CB7"/>
    <w:rsid w:val="009E385B"/>
    <w:rsid w:val="00A10206"/>
    <w:rsid w:val="00A10846"/>
    <w:rsid w:val="00A143B2"/>
    <w:rsid w:val="00A1710C"/>
    <w:rsid w:val="00A237F3"/>
    <w:rsid w:val="00A42F8E"/>
    <w:rsid w:val="00A579FB"/>
    <w:rsid w:val="00A61578"/>
    <w:rsid w:val="00A70AB9"/>
    <w:rsid w:val="00A816C8"/>
    <w:rsid w:val="00A906F0"/>
    <w:rsid w:val="00A93804"/>
    <w:rsid w:val="00A9686E"/>
    <w:rsid w:val="00A976CF"/>
    <w:rsid w:val="00AB0FFA"/>
    <w:rsid w:val="00AD12DA"/>
    <w:rsid w:val="00AD7B93"/>
    <w:rsid w:val="00AE10BF"/>
    <w:rsid w:val="00AE34AF"/>
    <w:rsid w:val="00AF5DF3"/>
    <w:rsid w:val="00B07E73"/>
    <w:rsid w:val="00B272C1"/>
    <w:rsid w:val="00B27345"/>
    <w:rsid w:val="00B31E73"/>
    <w:rsid w:val="00B41B60"/>
    <w:rsid w:val="00B46A84"/>
    <w:rsid w:val="00B523FB"/>
    <w:rsid w:val="00B54574"/>
    <w:rsid w:val="00B57822"/>
    <w:rsid w:val="00B61CF3"/>
    <w:rsid w:val="00B73C7C"/>
    <w:rsid w:val="00B901C8"/>
    <w:rsid w:val="00BC4685"/>
    <w:rsid w:val="00BD74C3"/>
    <w:rsid w:val="00BE126A"/>
    <w:rsid w:val="00BE75A5"/>
    <w:rsid w:val="00C00E9B"/>
    <w:rsid w:val="00C202F5"/>
    <w:rsid w:val="00C24901"/>
    <w:rsid w:val="00C334EF"/>
    <w:rsid w:val="00C34D75"/>
    <w:rsid w:val="00C35BE9"/>
    <w:rsid w:val="00C42C0B"/>
    <w:rsid w:val="00C520FA"/>
    <w:rsid w:val="00C566C4"/>
    <w:rsid w:val="00C61685"/>
    <w:rsid w:val="00C77EDC"/>
    <w:rsid w:val="00C818B8"/>
    <w:rsid w:val="00C87382"/>
    <w:rsid w:val="00CA254B"/>
    <w:rsid w:val="00CA3AFC"/>
    <w:rsid w:val="00CA420F"/>
    <w:rsid w:val="00CB19A5"/>
    <w:rsid w:val="00CB3E70"/>
    <w:rsid w:val="00CC15FE"/>
    <w:rsid w:val="00CC5C47"/>
    <w:rsid w:val="00CD319D"/>
    <w:rsid w:val="00CD461A"/>
    <w:rsid w:val="00D013CE"/>
    <w:rsid w:val="00D019D7"/>
    <w:rsid w:val="00D0352B"/>
    <w:rsid w:val="00D22E38"/>
    <w:rsid w:val="00D3455C"/>
    <w:rsid w:val="00D40E54"/>
    <w:rsid w:val="00D41FFA"/>
    <w:rsid w:val="00D47A5A"/>
    <w:rsid w:val="00D878B6"/>
    <w:rsid w:val="00D90200"/>
    <w:rsid w:val="00DA44D2"/>
    <w:rsid w:val="00DB3712"/>
    <w:rsid w:val="00DB7F49"/>
    <w:rsid w:val="00DC4B9C"/>
    <w:rsid w:val="00DD5F91"/>
    <w:rsid w:val="00DF0988"/>
    <w:rsid w:val="00DF61C4"/>
    <w:rsid w:val="00E11EDF"/>
    <w:rsid w:val="00E13473"/>
    <w:rsid w:val="00E15211"/>
    <w:rsid w:val="00E16A57"/>
    <w:rsid w:val="00E241A7"/>
    <w:rsid w:val="00E36F4A"/>
    <w:rsid w:val="00E402E3"/>
    <w:rsid w:val="00E46862"/>
    <w:rsid w:val="00E55D06"/>
    <w:rsid w:val="00E653B0"/>
    <w:rsid w:val="00E669FB"/>
    <w:rsid w:val="00E759EE"/>
    <w:rsid w:val="00E76235"/>
    <w:rsid w:val="00E83264"/>
    <w:rsid w:val="00E877EC"/>
    <w:rsid w:val="00E87F6E"/>
    <w:rsid w:val="00E97FB7"/>
    <w:rsid w:val="00EB4114"/>
    <w:rsid w:val="00EB585F"/>
    <w:rsid w:val="00EC46E6"/>
    <w:rsid w:val="00EC4F3A"/>
    <w:rsid w:val="00EE3906"/>
    <w:rsid w:val="00EF0351"/>
    <w:rsid w:val="00F073F5"/>
    <w:rsid w:val="00F1190D"/>
    <w:rsid w:val="00F1317B"/>
    <w:rsid w:val="00F13216"/>
    <w:rsid w:val="00F15C59"/>
    <w:rsid w:val="00F2385D"/>
    <w:rsid w:val="00F430AA"/>
    <w:rsid w:val="00F455C0"/>
    <w:rsid w:val="00F5359D"/>
    <w:rsid w:val="00F557CF"/>
    <w:rsid w:val="00F55FA4"/>
    <w:rsid w:val="00F6243A"/>
    <w:rsid w:val="00F62C02"/>
    <w:rsid w:val="00F72EB4"/>
    <w:rsid w:val="00F75BDD"/>
    <w:rsid w:val="00F76B60"/>
    <w:rsid w:val="00F76C4A"/>
    <w:rsid w:val="00F77D35"/>
    <w:rsid w:val="00F8008C"/>
    <w:rsid w:val="00F801FE"/>
    <w:rsid w:val="00F93D65"/>
    <w:rsid w:val="00F9493A"/>
    <w:rsid w:val="00FA3E38"/>
    <w:rsid w:val="00FB40A5"/>
    <w:rsid w:val="00FB58AF"/>
    <w:rsid w:val="00FD3C15"/>
    <w:rsid w:val="00FD7529"/>
    <w:rsid w:val="00FE2429"/>
    <w:rsid w:val="00FE73C3"/>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company/dare-forward-2030" TargetMode="External"/><Relationship Id="rId18" Type="http://schemas.openxmlformats.org/officeDocument/2006/relationships/hyperlink" Target="https://www.stellantis.com/en/news/press-releases/2022/june/stellantis-secures-low-emissions-lithium-supply-for-north-american-electric-vehicle-production-from-controlled-thermal-resour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tellantis.com/en/news/press-releases/2022/october/stellantis-signs-non-binding-mou-with-gme-for-future-offtake-of-battery-grade-nickel-and-cobalt-sulphate" TargetMode="External"/><Relationship Id="rId17" Type="http://schemas.openxmlformats.org/officeDocument/2006/relationships/hyperlink" Target="https://www.stellantis.com/en/news/press-releases/2023/january/stellantis-signs-binding-agreement-with-element-25-limited-for-manganese-sulphate-supply-for-electric-vehicle-batteries" TargetMode="External"/><Relationship Id="rId2" Type="http://schemas.openxmlformats.org/officeDocument/2006/relationships/customXml" Target="../customXml/item2.xml"/><Relationship Id="rId16" Type="http://schemas.openxmlformats.org/officeDocument/2006/relationships/hyperlink" Target="https://www.stellantis.com/en/news/press-releases/2022/june/stellantis-expands-relationship-with-vulcan-energy-becoming-shareholder-in-decarbonized-lithium-compan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hyperlink" Target="https://www.stellantis.com/en/news/press-releases/2023/january/stellantis-and-terrafame-agree-on-low-carbon-nickel-sulphate-supply-for-electric-vehicle-batter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liancenickel.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news/press-releases/2023/february/stellantis-announces-strategic-copper-investment-in-argentina-reinforcing-commitment-to-reaching-carbon-net-zero-by-203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06DB4FF6549973422D366D948C5" ma:contentTypeVersion="2" ma:contentTypeDescription="Create a new document." ma:contentTypeScope="" ma:versionID="3a5fe0a2235e6a035c1f9df453d97e53">
  <xsd:schema xmlns:xsd="http://www.w3.org/2001/XMLSchema" xmlns:xs="http://www.w3.org/2001/XMLSchema" xmlns:p="http://schemas.microsoft.com/office/2006/metadata/properties" xmlns:ns3="b4433625-0c24-41a9-bdfa-68617b5dd8eb" targetNamespace="http://schemas.microsoft.com/office/2006/metadata/properties" ma:root="true" ma:fieldsID="9aacc4901b0ac5600e8b0be9c03819b0" ns3:_="">
    <xsd:import namespace="b4433625-0c24-41a9-bdfa-68617b5dd8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3625-0c24-41a9-bdfa-68617b5dd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8B72182F-326B-470F-83F9-C67FAB16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3625-0c24-41a9-bdfa-68617b5d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1854</Words>
  <Characters>10570</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cp:lastPrinted>2023-04-14T03:32:00Z</cp:lastPrinted>
  <dcterms:created xsi:type="dcterms:W3CDTF">2023-04-28T05:18:00Z</dcterms:created>
  <dcterms:modified xsi:type="dcterms:W3CDTF">2023-04-28T05:18:00Z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0x01010010DCD06DB4FF6549973422D366D948C5</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