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7EE9B" w14:textId="45DE3370" w:rsidR="005C18FB" w:rsidRDefault="00EC175F" w:rsidP="00D74DE2">
      <w:pPr>
        <w:spacing w:after="0" w:line="240" w:lineRule="auto"/>
        <w:jc w:val="center"/>
        <w:rPr>
          <w:rFonts w:ascii="Arial" w:hAnsi="Arial"/>
          <w:b/>
          <w:sz w:val="28"/>
          <w:szCs w:val="28"/>
        </w:rPr>
      </w:pPr>
      <w:r w:rsidRPr="00842A27">
        <w:rPr>
          <w:rFonts w:ascii="Arial" w:hAnsi="Arial"/>
          <w:b/>
          <w:sz w:val="28"/>
          <w:szCs w:val="28"/>
        </w:rPr>
        <w:t xml:space="preserve">Stellantis et LG Energy Solution </w:t>
      </w:r>
      <w:r w:rsidR="00D97790">
        <w:rPr>
          <w:rFonts w:ascii="Arial" w:hAnsi="Arial"/>
          <w:b/>
          <w:sz w:val="28"/>
          <w:szCs w:val="28"/>
        </w:rPr>
        <w:t>vont investir</w:t>
      </w:r>
      <w:r w:rsidRPr="00842A27">
        <w:rPr>
          <w:rFonts w:ascii="Arial" w:hAnsi="Arial"/>
          <w:b/>
          <w:sz w:val="28"/>
          <w:szCs w:val="28"/>
        </w:rPr>
        <w:t xml:space="preserve"> </w:t>
      </w:r>
      <w:r w:rsidR="00E10F98">
        <w:rPr>
          <w:rFonts w:ascii="Arial" w:hAnsi="Arial"/>
          <w:b/>
          <w:sz w:val="28"/>
          <w:szCs w:val="28"/>
        </w:rPr>
        <w:t xml:space="preserve">plus de </w:t>
      </w:r>
      <w:r w:rsidR="00607381">
        <w:rPr>
          <w:rFonts w:ascii="Arial" w:hAnsi="Arial"/>
          <w:b/>
          <w:sz w:val="28"/>
          <w:szCs w:val="28"/>
        </w:rPr>
        <w:t>5</w:t>
      </w:r>
      <w:r w:rsidR="00607381" w:rsidRPr="00842A27">
        <w:rPr>
          <w:rFonts w:ascii="Arial" w:hAnsi="Arial"/>
          <w:b/>
          <w:sz w:val="28"/>
          <w:szCs w:val="28"/>
        </w:rPr>
        <w:t> </w:t>
      </w:r>
      <w:r w:rsidRPr="00842A27">
        <w:rPr>
          <w:rFonts w:ascii="Arial" w:hAnsi="Arial"/>
          <w:b/>
          <w:sz w:val="28"/>
          <w:szCs w:val="28"/>
        </w:rPr>
        <w:t xml:space="preserve">milliards de dollars canadiens dans </w:t>
      </w:r>
      <w:r w:rsidR="00E10F98">
        <w:rPr>
          <w:rFonts w:ascii="Arial" w:hAnsi="Arial"/>
          <w:b/>
          <w:sz w:val="28"/>
          <w:szCs w:val="28"/>
        </w:rPr>
        <w:t>une</w:t>
      </w:r>
      <w:r w:rsidR="00E10F98" w:rsidRPr="00842A27">
        <w:rPr>
          <w:rFonts w:ascii="Arial" w:hAnsi="Arial"/>
          <w:b/>
          <w:sz w:val="28"/>
          <w:szCs w:val="28"/>
        </w:rPr>
        <w:t xml:space="preserve"> </w:t>
      </w:r>
      <w:r w:rsidR="00607381">
        <w:rPr>
          <w:rFonts w:ascii="Arial" w:hAnsi="Arial"/>
          <w:b/>
          <w:sz w:val="28"/>
          <w:szCs w:val="28"/>
        </w:rPr>
        <w:t>coentreprise</w:t>
      </w:r>
      <w:r w:rsidRPr="00842A27">
        <w:rPr>
          <w:rFonts w:ascii="Arial" w:hAnsi="Arial"/>
          <w:b/>
          <w:sz w:val="28"/>
          <w:szCs w:val="28"/>
        </w:rPr>
        <w:t xml:space="preserve"> pour construire la première usine de production de batteries lithium-ion </w:t>
      </w:r>
      <w:r w:rsidR="009C005C">
        <w:rPr>
          <w:rFonts w:ascii="Arial" w:hAnsi="Arial"/>
          <w:b/>
          <w:sz w:val="28"/>
          <w:szCs w:val="28"/>
        </w:rPr>
        <w:t xml:space="preserve">à grande échelle </w:t>
      </w:r>
      <w:r w:rsidRPr="00842A27">
        <w:rPr>
          <w:rFonts w:ascii="Arial" w:hAnsi="Arial"/>
          <w:b/>
          <w:sz w:val="28"/>
          <w:szCs w:val="28"/>
        </w:rPr>
        <w:t>au Canada</w:t>
      </w:r>
    </w:p>
    <w:p w14:paraId="163B3E5D" w14:textId="77777777" w:rsidR="00C628B0" w:rsidRPr="00842A27" w:rsidRDefault="00C628B0" w:rsidP="00830308">
      <w:pPr>
        <w:spacing w:after="0" w:line="240" w:lineRule="auto"/>
        <w:jc w:val="center"/>
        <w:rPr>
          <w:rFonts w:ascii="Arial" w:hAnsi="Arial" w:cs="Arial"/>
          <w:b/>
          <w:sz w:val="28"/>
          <w:szCs w:val="28"/>
        </w:rPr>
      </w:pPr>
    </w:p>
    <w:p w14:paraId="5F453407" w14:textId="66B8852D" w:rsidR="00196042" w:rsidRPr="00D97790" w:rsidRDefault="00196042" w:rsidP="00B728D6">
      <w:pPr>
        <w:widowControl/>
        <w:numPr>
          <w:ilvl w:val="0"/>
          <w:numId w:val="1"/>
        </w:numPr>
        <w:wordWrap/>
        <w:autoSpaceDE/>
        <w:autoSpaceDN/>
        <w:spacing w:after="0" w:line="240" w:lineRule="auto"/>
        <w:textAlignment w:val="baseline"/>
        <w:rPr>
          <w:rFonts w:ascii="Arial" w:eastAsia="Times New Roman" w:hAnsi="Arial" w:cs="Arial"/>
          <w:sz w:val="24"/>
          <w:szCs w:val="24"/>
        </w:rPr>
      </w:pPr>
      <w:r w:rsidRPr="00842A27">
        <w:rPr>
          <w:rFonts w:ascii="Arial" w:hAnsi="Arial"/>
          <w:sz w:val="24"/>
          <w:szCs w:val="24"/>
        </w:rPr>
        <w:t xml:space="preserve">La </w:t>
      </w:r>
      <w:r w:rsidR="00E10F98">
        <w:rPr>
          <w:rFonts w:ascii="Arial" w:hAnsi="Arial"/>
          <w:sz w:val="24"/>
          <w:szCs w:val="24"/>
        </w:rPr>
        <w:t>coentreprise</w:t>
      </w:r>
      <w:r w:rsidRPr="00842A27">
        <w:rPr>
          <w:rFonts w:ascii="Arial" w:hAnsi="Arial"/>
          <w:sz w:val="24"/>
          <w:szCs w:val="24"/>
        </w:rPr>
        <w:t xml:space="preserve"> ainsi créée deviendra le premier fabricant de batteries pour véhicules électriques </w:t>
      </w:r>
      <w:r w:rsidR="009C005C">
        <w:rPr>
          <w:rFonts w:ascii="Arial" w:hAnsi="Arial"/>
          <w:sz w:val="24"/>
          <w:szCs w:val="24"/>
        </w:rPr>
        <w:t xml:space="preserve">à grande échelle </w:t>
      </w:r>
      <w:r w:rsidRPr="00842A27">
        <w:rPr>
          <w:rFonts w:ascii="Arial" w:hAnsi="Arial"/>
          <w:sz w:val="24"/>
          <w:szCs w:val="24"/>
        </w:rPr>
        <w:t xml:space="preserve">au Canada </w:t>
      </w:r>
    </w:p>
    <w:p w14:paraId="75DA5FF2" w14:textId="1560D8F8" w:rsidR="00D6308A" w:rsidRPr="00842A27" w:rsidRDefault="00196042" w:rsidP="00D97790">
      <w:pPr>
        <w:widowControl/>
        <w:numPr>
          <w:ilvl w:val="0"/>
          <w:numId w:val="1"/>
        </w:numPr>
        <w:wordWrap/>
        <w:autoSpaceDE/>
        <w:autoSpaceDN/>
        <w:spacing w:after="0" w:line="240" w:lineRule="auto"/>
        <w:textAlignment w:val="baseline"/>
        <w:rPr>
          <w:rFonts w:ascii="Arial" w:eastAsia="Times New Roman" w:hAnsi="Arial" w:cs="Arial"/>
          <w:sz w:val="24"/>
          <w:szCs w:val="24"/>
        </w:rPr>
      </w:pPr>
      <w:r w:rsidRPr="00842A27">
        <w:rPr>
          <w:rFonts w:ascii="Arial" w:hAnsi="Arial"/>
          <w:sz w:val="24"/>
          <w:szCs w:val="24"/>
        </w:rPr>
        <w:t xml:space="preserve">L’usine affichera une capacité annuelle de production supérieure à </w:t>
      </w:r>
      <w:r w:rsidR="00B728D6">
        <w:rPr>
          <w:rFonts w:ascii="Arial" w:hAnsi="Arial"/>
          <w:sz w:val="24"/>
          <w:szCs w:val="24"/>
        </w:rPr>
        <w:t>45</w:t>
      </w:r>
      <w:r w:rsidRPr="00842A27">
        <w:rPr>
          <w:rFonts w:ascii="Arial" w:hAnsi="Arial"/>
          <w:sz w:val="24"/>
          <w:szCs w:val="24"/>
        </w:rPr>
        <w:t> </w:t>
      </w:r>
      <w:proofErr w:type="gramStart"/>
      <w:r w:rsidRPr="00842A27">
        <w:rPr>
          <w:rFonts w:ascii="Arial" w:hAnsi="Arial"/>
          <w:sz w:val="24"/>
          <w:szCs w:val="24"/>
        </w:rPr>
        <w:t>gigawatt-heure</w:t>
      </w:r>
      <w:proofErr w:type="gramEnd"/>
    </w:p>
    <w:p w14:paraId="67F5267A" w14:textId="711225DF" w:rsidR="0007479D" w:rsidRPr="00842A27" w:rsidRDefault="00196042" w:rsidP="00D97790">
      <w:pPr>
        <w:widowControl/>
        <w:numPr>
          <w:ilvl w:val="0"/>
          <w:numId w:val="1"/>
        </w:numPr>
        <w:wordWrap/>
        <w:autoSpaceDE/>
        <w:autoSpaceDN/>
        <w:spacing w:after="0" w:line="240" w:lineRule="auto"/>
        <w:textAlignment w:val="baseline"/>
        <w:rPr>
          <w:rFonts w:ascii="Arial" w:eastAsia="Times New Roman" w:hAnsi="Arial" w:cs="Arial"/>
          <w:sz w:val="24"/>
          <w:szCs w:val="24"/>
        </w:rPr>
      </w:pPr>
      <w:r w:rsidRPr="00842A27">
        <w:rPr>
          <w:rFonts w:ascii="Arial" w:hAnsi="Arial"/>
          <w:sz w:val="24"/>
          <w:szCs w:val="24"/>
        </w:rPr>
        <w:t>Le site de production devrait être opérationnel en 202</w:t>
      </w:r>
      <w:r w:rsidR="00607381">
        <w:rPr>
          <w:rFonts w:ascii="Arial" w:hAnsi="Arial"/>
          <w:sz w:val="24"/>
          <w:szCs w:val="24"/>
        </w:rPr>
        <w:t>4</w:t>
      </w:r>
      <w:r w:rsidRPr="00842A27">
        <w:rPr>
          <w:rFonts w:ascii="Arial" w:hAnsi="Arial"/>
          <w:sz w:val="24"/>
          <w:szCs w:val="24"/>
        </w:rPr>
        <w:t xml:space="preserve"> et permettra de créer </w:t>
      </w:r>
      <w:r w:rsidR="00607381">
        <w:rPr>
          <w:rFonts w:ascii="Arial" w:hAnsi="Arial"/>
          <w:sz w:val="24"/>
          <w:szCs w:val="24"/>
        </w:rPr>
        <w:t xml:space="preserve">environ </w:t>
      </w:r>
      <w:r w:rsidR="00B728D6">
        <w:rPr>
          <w:rFonts w:ascii="Arial" w:hAnsi="Arial"/>
          <w:sz w:val="24"/>
          <w:szCs w:val="24"/>
        </w:rPr>
        <w:t>2</w:t>
      </w:r>
      <w:r w:rsidR="00E10F98">
        <w:rPr>
          <w:rFonts w:ascii="Arial" w:hAnsi="Arial"/>
          <w:sz w:val="24"/>
          <w:szCs w:val="24"/>
        </w:rPr>
        <w:t xml:space="preserve"> </w:t>
      </w:r>
      <w:r w:rsidR="00B728D6">
        <w:rPr>
          <w:rFonts w:ascii="Arial" w:hAnsi="Arial"/>
          <w:sz w:val="24"/>
          <w:szCs w:val="24"/>
        </w:rPr>
        <w:t>500</w:t>
      </w:r>
      <w:r w:rsidR="00B728D6" w:rsidRPr="00842A27">
        <w:rPr>
          <w:rFonts w:ascii="Arial" w:hAnsi="Arial"/>
          <w:sz w:val="24"/>
          <w:szCs w:val="24"/>
        </w:rPr>
        <w:t> </w:t>
      </w:r>
      <w:r w:rsidRPr="00842A27">
        <w:rPr>
          <w:rFonts w:ascii="Arial" w:hAnsi="Arial"/>
          <w:sz w:val="24"/>
          <w:szCs w:val="24"/>
        </w:rPr>
        <w:t>nouveaux emplois</w:t>
      </w:r>
    </w:p>
    <w:p w14:paraId="6A806FEF" w14:textId="77777777" w:rsidR="00AC709F" w:rsidRPr="00842A27" w:rsidRDefault="00AC709F" w:rsidP="00AC709F">
      <w:pPr>
        <w:widowControl/>
        <w:wordWrap/>
        <w:autoSpaceDE/>
        <w:autoSpaceDN/>
        <w:spacing w:after="0" w:line="240" w:lineRule="auto"/>
        <w:ind w:left="720"/>
        <w:jc w:val="left"/>
        <w:textAlignment w:val="baseline"/>
        <w:rPr>
          <w:rFonts w:ascii="Arial" w:eastAsia="Times New Roman" w:hAnsi="Arial" w:cs="Arial"/>
          <w:sz w:val="24"/>
          <w:szCs w:val="24"/>
        </w:rPr>
      </w:pPr>
    </w:p>
    <w:p w14:paraId="5489AC31" w14:textId="39174BF3" w:rsidR="00A91D78" w:rsidRPr="00D97790" w:rsidRDefault="00030559" w:rsidP="00E67697">
      <w:pPr>
        <w:spacing w:after="0" w:line="240" w:lineRule="auto"/>
        <w:rPr>
          <w:rFonts w:ascii="Arial" w:eastAsia="Times New Roman" w:hAnsi="Arial" w:cs="Arial"/>
          <w:sz w:val="24"/>
          <w:szCs w:val="24"/>
          <w:shd w:val="clear" w:color="auto" w:fill="FFFFFF"/>
        </w:rPr>
      </w:pPr>
      <w:r w:rsidRPr="00842A27">
        <w:rPr>
          <w:rFonts w:ascii="Arial" w:hAnsi="Arial"/>
          <w:b/>
          <w:sz w:val="24"/>
          <w:szCs w:val="24"/>
        </w:rPr>
        <w:t>Ontario, Canada, le 23 mars 2022</w:t>
      </w:r>
      <w:r w:rsidRPr="00842A27">
        <w:rPr>
          <w:rFonts w:ascii="Arial" w:hAnsi="Arial"/>
          <w:b/>
          <w:bCs/>
          <w:sz w:val="24"/>
          <w:szCs w:val="24"/>
        </w:rPr>
        <w:t xml:space="preserve"> – </w:t>
      </w:r>
      <w:hyperlink r:id="rId7" w:history="1">
        <w:r w:rsidRPr="000C4CD2">
          <w:rPr>
            <w:rStyle w:val="Hyperlink"/>
            <w:rFonts w:ascii="Arial" w:hAnsi="Arial"/>
            <w:sz w:val="24"/>
            <w:szCs w:val="24"/>
          </w:rPr>
          <w:t>Stellantis N.V.</w:t>
        </w:r>
      </w:hyperlink>
      <w:r w:rsidRPr="00842A27">
        <w:rPr>
          <w:rFonts w:ascii="Arial" w:hAnsi="Arial"/>
          <w:sz w:val="24"/>
          <w:szCs w:val="24"/>
        </w:rPr>
        <w:t xml:space="preserve"> et </w:t>
      </w:r>
      <w:hyperlink r:id="rId8" w:history="1">
        <w:r w:rsidRPr="000C4CD2">
          <w:rPr>
            <w:rStyle w:val="Hyperlink"/>
            <w:rFonts w:ascii="Arial" w:hAnsi="Arial"/>
            <w:sz w:val="24"/>
            <w:szCs w:val="24"/>
          </w:rPr>
          <w:t xml:space="preserve">LG Energy </w:t>
        </w:r>
        <w:r w:rsidRPr="000C4CD2">
          <w:rPr>
            <w:rStyle w:val="Hyperlink"/>
            <w:rFonts w:ascii="Arial" w:hAnsi="Arial"/>
            <w:sz w:val="24"/>
            <w:szCs w:val="24"/>
            <w:shd w:val="clear" w:color="auto" w:fill="FFFFFF"/>
          </w:rPr>
          <w:t>Solution (LGES)</w:t>
        </w:r>
      </w:hyperlink>
      <w:r w:rsidRPr="00D97790">
        <w:rPr>
          <w:rFonts w:ascii="Arial" w:hAnsi="Arial"/>
          <w:sz w:val="24"/>
          <w:szCs w:val="24"/>
          <w:shd w:val="clear" w:color="auto" w:fill="FFFFFF"/>
        </w:rPr>
        <w:t xml:space="preserve"> </w:t>
      </w:r>
      <w:r w:rsidRPr="000F7FF9">
        <w:rPr>
          <w:rFonts w:ascii="Arial" w:hAnsi="Arial"/>
          <w:sz w:val="24"/>
          <w:szCs w:val="24"/>
          <w:shd w:val="clear" w:color="auto" w:fill="FFFFFF"/>
        </w:rPr>
        <w:t xml:space="preserve">ont annoncé aujourd’hui </w:t>
      </w:r>
      <w:r w:rsidR="00E10F98" w:rsidRPr="00D97790">
        <w:rPr>
          <w:rFonts w:ascii="Arial" w:hAnsi="Arial"/>
          <w:sz w:val="24"/>
          <w:szCs w:val="24"/>
          <w:shd w:val="clear" w:color="auto" w:fill="FFFFFF"/>
        </w:rPr>
        <w:t>avoir conclu l</w:t>
      </w:r>
      <w:r w:rsidRPr="00D97790">
        <w:rPr>
          <w:rFonts w:ascii="Arial" w:hAnsi="Arial"/>
          <w:sz w:val="24"/>
          <w:szCs w:val="24"/>
          <w:shd w:val="clear" w:color="auto" w:fill="FFFFFF"/>
        </w:rPr>
        <w:t xml:space="preserve">es accords définitifs visant à implanter la première usine de batteries </w:t>
      </w:r>
      <w:r w:rsidR="009C005C" w:rsidRPr="00D97790">
        <w:rPr>
          <w:rFonts w:ascii="Arial" w:hAnsi="Arial"/>
          <w:sz w:val="24"/>
          <w:szCs w:val="24"/>
          <w:shd w:val="clear" w:color="auto" w:fill="FFFFFF"/>
        </w:rPr>
        <w:t xml:space="preserve">à grande échelle </w:t>
      </w:r>
      <w:r w:rsidRPr="00D97790">
        <w:rPr>
          <w:rFonts w:ascii="Arial" w:hAnsi="Arial"/>
          <w:sz w:val="24"/>
          <w:szCs w:val="24"/>
          <w:shd w:val="clear" w:color="auto" w:fill="FFFFFF"/>
        </w:rPr>
        <w:t xml:space="preserve">pour véhicules électriques au Canada. La </w:t>
      </w:r>
      <w:r w:rsidR="00EC3EDA" w:rsidRPr="00D97790">
        <w:rPr>
          <w:rFonts w:ascii="Arial" w:hAnsi="Arial"/>
          <w:sz w:val="24"/>
          <w:szCs w:val="24"/>
          <w:shd w:val="clear" w:color="auto" w:fill="FFFFFF"/>
        </w:rPr>
        <w:t>coentreprise</w:t>
      </w:r>
      <w:r w:rsidRPr="00D97790">
        <w:rPr>
          <w:rFonts w:ascii="Arial" w:hAnsi="Arial"/>
          <w:sz w:val="24"/>
          <w:szCs w:val="24"/>
          <w:shd w:val="clear" w:color="auto" w:fill="FFFFFF"/>
        </w:rPr>
        <w:t xml:space="preserve"> produira des cellules et des modules de batteries lithium-ion de pointe afin de répondre en grande partie aux exigences de production des véhicules Stellantis en Amérique du Nord.</w:t>
      </w:r>
    </w:p>
    <w:p w14:paraId="4B5EE106" w14:textId="77777777" w:rsidR="00A91D78" w:rsidRPr="00D97790" w:rsidRDefault="00A91D78" w:rsidP="00E67697">
      <w:pPr>
        <w:spacing w:after="0" w:line="240" w:lineRule="auto"/>
        <w:rPr>
          <w:rFonts w:ascii="Arial" w:eastAsia="Times New Roman" w:hAnsi="Arial" w:cs="Arial"/>
          <w:sz w:val="24"/>
          <w:szCs w:val="24"/>
          <w:shd w:val="clear" w:color="auto" w:fill="FFFFFF"/>
        </w:rPr>
      </w:pPr>
    </w:p>
    <w:p w14:paraId="293F6742" w14:textId="5F173B48" w:rsidR="00A91D78" w:rsidRPr="00842A27" w:rsidRDefault="00A91D78" w:rsidP="00830308">
      <w:pPr>
        <w:spacing w:after="0" w:line="240" w:lineRule="auto"/>
        <w:rPr>
          <w:rFonts w:ascii="Arial" w:eastAsia="Times New Roman" w:hAnsi="Arial" w:cs="Arial"/>
          <w:sz w:val="24"/>
          <w:szCs w:val="24"/>
          <w:shd w:val="clear" w:color="auto" w:fill="FFFFFF"/>
        </w:rPr>
      </w:pPr>
      <w:r w:rsidRPr="00D97790">
        <w:rPr>
          <w:rFonts w:ascii="Arial" w:hAnsi="Arial"/>
          <w:sz w:val="24"/>
          <w:szCs w:val="24"/>
          <w:shd w:val="clear" w:color="auto" w:fill="FFFFFF"/>
        </w:rPr>
        <w:t xml:space="preserve">La </w:t>
      </w:r>
      <w:r w:rsidR="00EC3EDA" w:rsidRPr="00D97790">
        <w:rPr>
          <w:rFonts w:ascii="Arial" w:hAnsi="Arial"/>
          <w:sz w:val="24"/>
          <w:szCs w:val="24"/>
          <w:shd w:val="clear" w:color="auto" w:fill="FFFFFF"/>
        </w:rPr>
        <w:t xml:space="preserve">coentreprise </w:t>
      </w:r>
      <w:r w:rsidRPr="00D97790">
        <w:rPr>
          <w:rFonts w:ascii="Arial" w:hAnsi="Arial"/>
          <w:sz w:val="24"/>
          <w:szCs w:val="24"/>
          <w:shd w:val="clear" w:color="auto" w:fill="FFFFFF"/>
        </w:rPr>
        <w:t xml:space="preserve">investira </w:t>
      </w:r>
      <w:r w:rsidR="00EC3EDA" w:rsidRPr="00D97790">
        <w:rPr>
          <w:rFonts w:ascii="Arial" w:hAnsi="Arial"/>
          <w:sz w:val="24"/>
          <w:szCs w:val="24"/>
          <w:shd w:val="clear" w:color="auto" w:fill="FFFFFF"/>
        </w:rPr>
        <w:t>plus</w:t>
      </w:r>
      <w:r w:rsidRPr="00D97790">
        <w:rPr>
          <w:rFonts w:ascii="Arial" w:hAnsi="Arial"/>
          <w:sz w:val="24"/>
          <w:szCs w:val="24"/>
          <w:shd w:val="clear" w:color="auto" w:fill="FFFFFF"/>
        </w:rPr>
        <w:t xml:space="preserve"> de </w:t>
      </w:r>
      <w:r w:rsidR="00EC3EDA" w:rsidRPr="00D97790">
        <w:rPr>
          <w:rFonts w:ascii="Arial" w:hAnsi="Arial"/>
          <w:sz w:val="24"/>
          <w:szCs w:val="24"/>
          <w:shd w:val="clear" w:color="auto" w:fill="FFFFFF"/>
        </w:rPr>
        <w:t>5 </w:t>
      </w:r>
      <w:r w:rsidRPr="00D97790">
        <w:rPr>
          <w:rFonts w:ascii="Arial" w:hAnsi="Arial"/>
          <w:sz w:val="24"/>
          <w:szCs w:val="24"/>
          <w:shd w:val="clear" w:color="auto" w:fill="FFFFFF"/>
        </w:rPr>
        <w:t>milliards de dollars canadiens (</w:t>
      </w:r>
      <w:r w:rsidR="00EC3EDA" w:rsidRPr="00D97790">
        <w:rPr>
          <w:rFonts w:ascii="Arial" w:hAnsi="Arial"/>
          <w:sz w:val="24"/>
          <w:szCs w:val="24"/>
          <w:shd w:val="clear" w:color="auto" w:fill="FFFFFF"/>
        </w:rPr>
        <w:t>4,1</w:t>
      </w:r>
      <w:r w:rsidR="00353C10">
        <w:rPr>
          <w:rFonts w:ascii="Arial" w:hAnsi="Arial"/>
          <w:sz w:val="24"/>
          <w:szCs w:val="24"/>
          <w:shd w:val="clear" w:color="auto" w:fill="FFFFFF"/>
        </w:rPr>
        <w:t xml:space="preserve"> </w:t>
      </w:r>
      <w:r w:rsidRPr="00D97790">
        <w:rPr>
          <w:rFonts w:ascii="Arial" w:hAnsi="Arial"/>
          <w:sz w:val="24"/>
          <w:szCs w:val="24"/>
          <w:shd w:val="clear" w:color="auto" w:fill="FFFFFF"/>
        </w:rPr>
        <w:t xml:space="preserve">milliards de dollars américains) et pour </w:t>
      </w:r>
      <w:r w:rsidR="00EC3EDA" w:rsidRPr="00D97790">
        <w:rPr>
          <w:rFonts w:ascii="Arial" w:hAnsi="Arial"/>
          <w:sz w:val="24"/>
          <w:szCs w:val="24"/>
          <w:shd w:val="clear" w:color="auto" w:fill="FFFFFF"/>
        </w:rPr>
        <w:t>établir</w:t>
      </w:r>
      <w:r w:rsidRPr="00D97790">
        <w:rPr>
          <w:rFonts w:ascii="Arial" w:hAnsi="Arial"/>
          <w:sz w:val="24"/>
          <w:szCs w:val="24"/>
          <w:shd w:val="clear" w:color="auto" w:fill="FFFFFF"/>
        </w:rPr>
        <w:t xml:space="preserve"> ses </w:t>
      </w:r>
      <w:r w:rsidR="00EC3EDA" w:rsidRPr="00D97790">
        <w:rPr>
          <w:rFonts w:ascii="Arial" w:hAnsi="Arial"/>
          <w:sz w:val="24"/>
          <w:szCs w:val="24"/>
          <w:shd w:val="clear" w:color="auto" w:fill="FFFFFF"/>
        </w:rPr>
        <w:t>activités</w:t>
      </w:r>
      <w:r w:rsidRPr="00D97790">
        <w:rPr>
          <w:rFonts w:ascii="Arial" w:hAnsi="Arial"/>
          <w:sz w:val="24"/>
          <w:szCs w:val="24"/>
          <w:shd w:val="clear" w:color="auto" w:fill="FFFFFF"/>
        </w:rPr>
        <w:t xml:space="preserve">, avec notamment la création d’une toute nouvelle usine de batteries à Windsor, </w:t>
      </w:r>
      <w:r w:rsidR="00EC3EDA" w:rsidRPr="00D97790">
        <w:rPr>
          <w:rFonts w:ascii="Arial" w:hAnsi="Arial"/>
          <w:sz w:val="24"/>
          <w:szCs w:val="24"/>
          <w:shd w:val="clear" w:color="auto" w:fill="FFFFFF"/>
        </w:rPr>
        <w:t xml:space="preserve">en </w:t>
      </w:r>
      <w:r w:rsidRPr="00D97790">
        <w:rPr>
          <w:rFonts w:ascii="Arial" w:hAnsi="Arial"/>
          <w:sz w:val="24"/>
          <w:szCs w:val="24"/>
          <w:shd w:val="clear" w:color="auto" w:fill="FFFFFF"/>
        </w:rPr>
        <w:t>Ontario</w:t>
      </w:r>
      <w:r w:rsidR="00EC3EDA" w:rsidRPr="00D97790">
        <w:rPr>
          <w:rFonts w:ascii="Arial" w:hAnsi="Arial"/>
          <w:sz w:val="24"/>
          <w:szCs w:val="24"/>
          <w:shd w:val="clear" w:color="auto" w:fill="FFFFFF"/>
        </w:rPr>
        <w:t>, Canada</w:t>
      </w:r>
      <w:r w:rsidRPr="00D97790">
        <w:rPr>
          <w:rFonts w:ascii="Arial" w:hAnsi="Arial"/>
          <w:sz w:val="24"/>
          <w:szCs w:val="24"/>
          <w:shd w:val="clear" w:color="auto" w:fill="FFFFFF"/>
        </w:rPr>
        <w:t xml:space="preserve"> </w:t>
      </w:r>
      <w:r w:rsidRPr="00D97790">
        <w:rPr>
          <w:rFonts w:ascii="Arial" w:hAnsi="Arial"/>
          <w:sz w:val="24"/>
          <w:szCs w:val="24"/>
        </w:rPr>
        <w:t>Les travaux de</w:t>
      </w:r>
      <w:r w:rsidRPr="00842A27">
        <w:rPr>
          <w:rFonts w:ascii="Arial" w:hAnsi="Arial"/>
          <w:sz w:val="24"/>
          <w:szCs w:val="24"/>
        </w:rPr>
        <w:t xml:space="preserve"> construction devraient débuter </w:t>
      </w:r>
      <w:r w:rsidR="00EC3EDA">
        <w:rPr>
          <w:rFonts w:ascii="Arial" w:hAnsi="Arial"/>
          <w:sz w:val="24"/>
          <w:szCs w:val="24"/>
        </w:rPr>
        <w:t>cette année</w:t>
      </w:r>
      <w:r w:rsidRPr="00842A27">
        <w:rPr>
          <w:rFonts w:ascii="Arial" w:hAnsi="Arial"/>
          <w:sz w:val="24"/>
          <w:szCs w:val="24"/>
        </w:rPr>
        <w:t xml:space="preserve"> </w:t>
      </w:r>
      <w:r w:rsidR="00E10F98">
        <w:rPr>
          <w:rFonts w:ascii="Arial" w:hAnsi="Arial"/>
          <w:sz w:val="24"/>
          <w:szCs w:val="24"/>
        </w:rPr>
        <w:t>pour un</w:t>
      </w:r>
      <w:r w:rsidRPr="00842A27">
        <w:rPr>
          <w:rFonts w:ascii="Arial" w:hAnsi="Arial"/>
          <w:sz w:val="24"/>
          <w:szCs w:val="24"/>
        </w:rPr>
        <w:t xml:space="preserve"> lancement de production prévu </w:t>
      </w:r>
      <w:r w:rsidR="00E10F98">
        <w:rPr>
          <w:rFonts w:ascii="Arial" w:hAnsi="Arial"/>
          <w:sz w:val="24"/>
          <w:szCs w:val="24"/>
        </w:rPr>
        <w:t>au</w:t>
      </w:r>
      <w:r w:rsidRPr="00842A27">
        <w:rPr>
          <w:rFonts w:ascii="Arial" w:hAnsi="Arial"/>
          <w:sz w:val="24"/>
          <w:szCs w:val="24"/>
        </w:rPr>
        <w:t xml:space="preserve"> premier trimestre 202</w:t>
      </w:r>
      <w:r w:rsidR="00EC3EDA">
        <w:rPr>
          <w:rFonts w:ascii="Arial" w:hAnsi="Arial"/>
          <w:sz w:val="24"/>
          <w:szCs w:val="24"/>
        </w:rPr>
        <w:t>4</w:t>
      </w:r>
      <w:r w:rsidRPr="00842A27">
        <w:rPr>
          <w:rFonts w:ascii="Arial" w:hAnsi="Arial"/>
          <w:sz w:val="24"/>
          <w:szCs w:val="24"/>
        </w:rPr>
        <w:t xml:space="preserve">. </w:t>
      </w:r>
    </w:p>
    <w:p w14:paraId="5C2A78CA" w14:textId="77777777" w:rsidR="00A91D78" w:rsidRPr="00842A27" w:rsidRDefault="00A91D78" w:rsidP="00830308">
      <w:pPr>
        <w:spacing w:after="0" w:line="240" w:lineRule="auto"/>
        <w:rPr>
          <w:rFonts w:ascii="Arial" w:hAnsi="Arial" w:cs="Arial"/>
          <w:sz w:val="24"/>
          <w:szCs w:val="24"/>
        </w:rPr>
      </w:pPr>
    </w:p>
    <w:p w14:paraId="6C30A9B6" w14:textId="47AB6033" w:rsidR="006061F0" w:rsidRPr="00842A27" w:rsidRDefault="00E136FF" w:rsidP="00830308">
      <w:pPr>
        <w:spacing w:after="0" w:line="240" w:lineRule="auto"/>
        <w:rPr>
          <w:rFonts w:ascii="Arial" w:hAnsi="Arial" w:cs="Arial"/>
          <w:sz w:val="24"/>
          <w:szCs w:val="24"/>
        </w:rPr>
      </w:pPr>
      <w:r w:rsidRPr="00842A27">
        <w:rPr>
          <w:rFonts w:ascii="Arial" w:hAnsi="Arial"/>
          <w:sz w:val="24"/>
          <w:szCs w:val="24"/>
        </w:rPr>
        <w:t>L’</w:t>
      </w:r>
      <w:r w:rsidRPr="00842A27">
        <w:rPr>
          <w:rFonts w:ascii="Arial" w:hAnsi="Arial"/>
          <w:sz w:val="24"/>
          <w:szCs w:val="24"/>
          <w:shd w:val="clear" w:color="auto" w:fill="FFFFFF"/>
        </w:rPr>
        <w:t xml:space="preserve">usine </w:t>
      </w:r>
      <w:r w:rsidR="00E10F98">
        <w:rPr>
          <w:rFonts w:ascii="Arial" w:hAnsi="Arial"/>
          <w:sz w:val="24"/>
          <w:szCs w:val="24"/>
          <w:shd w:val="clear" w:color="auto" w:fill="FFFFFF"/>
        </w:rPr>
        <w:t>d’</w:t>
      </w:r>
      <w:r w:rsidRPr="00842A27">
        <w:rPr>
          <w:rFonts w:ascii="Arial" w:hAnsi="Arial"/>
          <w:sz w:val="24"/>
          <w:szCs w:val="24"/>
          <w:shd w:val="clear" w:color="auto" w:fill="FFFFFF"/>
        </w:rPr>
        <w:t xml:space="preserve">une capacité annuelle de production supérieure à </w:t>
      </w:r>
      <w:r w:rsidR="00EC3EDA">
        <w:rPr>
          <w:rFonts w:ascii="Arial" w:hAnsi="Arial"/>
          <w:sz w:val="24"/>
          <w:szCs w:val="24"/>
          <w:shd w:val="clear" w:color="auto" w:fill="FFFFFF"/>
        </w:rPr>
        <w:t xml:space="preserve">45 </w:t>
      </w:r>
      <w:proofErr w:type="gramStart"/>
      <w:r w:rsidRPr="00842A27">
        <w:rPr>
          <w:rFonts w:ascii="Arial" w:hAnsi="Arial"/>
          <w:sz w:val="24"/>
          <w:szCs w:val="24"/>
          <w:shd w:val="clear" w:color="auto" w:fill="FFFFFF"/>
        </w:rPr>
        <w:t>gigawatt-heure</w:t>
      </w:r>
      <w:proofErr w:type="gramEnd"/>
      <w:r w:rsidRPr="00842A27">
        <w:rPr>
          <w:rFonts w:ascii="Arial" w:hAnsi="Arial"/>
          <w:sz w:val="24"/>
          <w:szCs w:val="24"/>
          <w:shd w:val="clear" w:color="auto" w:fill="FFFFFF"/>
        </w:rPr>
        <w:t xml:space="preserve"> (GWh) créer</w:t>
      </w:r>
      <w:r w:rsidR="00E10F98">
        <w:rPr>
          <w:rFonts w:ascii="Arial" w:hAnsi="Arial"/>
          <w:sz w:val="24"/>
          <w:szCs w:val="24"/>
          <w:shd w:val="clear" w:color="auto" w:fill="FFFFFF"/>
        </w:rPr>
        <w:t>a</w:t>
      </w:r>
      <w:r w:rsidRPr="00842A27">
        <w:rPr>
          <w:rFonts w:ascii="Arial" w:hAnsi="Arial"/>
          <w:sz w:val="24"/>
          <w:szCs w:val="24"/>
          <w:shd w:val="clear" w:color="auto" w:fill="FFFFFF"/>
        </w:rPr>
        <w:t xml:space="preserve"> </w:t>
      </w:r>
      <w:r w:rsidR="00EC3EDA">
        <w:rPr>
          <w:rFonts w:ascii="Arial" w:hAnsi="Arial"/>
          <w:sz w:val="24"/>
          <w:szCs w:val="24"/>
          <w:shd w:val="clear" w:color="auto" w:fill="FFFFFF"/>
        </w:rPr>
        <w:t>environ</w:t>
      </w:r>
      <w:r w:rsidR="00EC3EDA" w:rsidRPr="00842A27">
        <w:rPr>
          <w:rFonts w:ascii="Arial" w:hAnsi="Arial"/>
          <w:sz w:val="24"/>
          <w:szCs w:val="24"/>
          <w:shd w:val="clear" w:color="auto" w:fill="FFFFFF"/>
        </w:rPr>
        <w:t xml:space="preserve"> </w:t>
      </w:r>
      <w:r w:rsidR="00EC3EDA">
        <w:rPr>
          <w:rFonts w:ascii="Arial" w:hAnsi="Arial"/>
          <w:sz w:val="24"/>
          <w:szCs w:val="24"/>
          <w:shd w:val="clear" w:color="auto" w:fill="FFFFFF"/>
        </w:rPr>
        <w:t>2</w:t>
      </w:r>
      <w:r w:rsidR="00E10F98">
        <w:rPr>
          <w:rFonts w:ascii="Arial" w:hAnsi="Arial"/>
          <w:sz w:val="24"/>
          <w:szCs w:val="24"/>
          <w:shd w:val="clear" w:color="auto" w:fill="FFFFFF"/>
        </w:rPr>
        <w:t xml:space="preserve"> </w:t>
      </w:r>
      <w:r w:rsidR="00EC3EDA">
        <w:rPr>
          <w:rFonts w:ascii="Arial" w:hAnsi="Arial"/>
          <w:sz w:val="24"/>
          <w:szCs w:val="24"/>
          <w:shd w:val="clear" w:color="auto" w:fill="FFFFFF"/>
        </w:rPr>
        <w:t>500</w:t>
      </w:r>
      <w:r w:rsidR="00EC3EDA" w:rsidRPr="00842A27">
        <w:rPr>
          <w:rFonts w:ascii="Arial" w:hAnsi="Arial"/>
          <w:sz w:val="24"/>
          <w:szCs w:val="24"/>
          <w:shd w:val="clear" w:color="auto" w:fill="FFFFFF"/>
        </w:rPr>
        <w:t> </w:t>
      </w:r>
      <w:r w:rsidRPr="00842A27">
        <w:rPr>
          <w:rFonts w:ascii="Arial" w:hAnsi="Arial"/>
          <w:sz w:val="24"/>
          <w:szCs w:val="24"/>
          <w:shd w:val="clear" w:color="auto" w:fill="FFFFFF"/>
        </w:rPr>
        <w:t>nouveaux emplois à Windsor et dans l</w:t>
      </w:r>
      <w:r w:rsidR="00EC3EDA">
        <w:rPr>
          <w:rFonts w:ascii="Arial" w:hAnsi="Arial"/>
          <w:sz w:val="24"/>
          <w:szCs w:val="24"/>
          <w:shd w:val="clear" w:color="auto" w:fill="FFFFFF"/>
        </w:rPr>
        <w:t>es</w:t>
      </w:r>
      <w:r w:rsidRPr="00842A27">
        <w:rPr>
          <w:rFonts w:ascii="Arial" w:hAnsi="Arial"/>
          <w:sz w:val="24"/>
          <w:szCs w:val="24"/>
          <w:shd w:val="clear" w:color="auto" w:fill="FFFFFF"/>
        </w:rPr>
        <w:t xml:space="preserve"> </w:t>
      </w:r>
      <w:r w:rsidR="00EC3EDA">
        <w:rPr>
          <w:rFonts w:ascii="Arial" w:hAnsi="Arial"/>
          <w:sz w:val="24"/>
          <w:szCs w:val="24"/>
          <w:shd w:val="clear" w:color="auto" w:fill="FFFFFF"/>
        </w:rPr>
        <w:t>environs</w:t>
      </w:r>
      <w:r w:rsidRPr="00842A27">
        <w:rPr>
          <w:rFonts w:ascii="Arial" w:hAnsi="Arial"/>
          <w:sz w:val="24"/>
          <w:szCs w:val="24"/>
          <w:shd w:val="clear" w:color="auto" w:fill="FFFFFF"/>
        </w:rPr>
        <w:t xml:space="preserve">. </w:t>
      </w:r>
      <w:r w:rsidR="00EC3EDA">
        <w:rPr>
          <w:rFonts w:ascii="Arial" w:hAnsi="Arial"/>
          <w:sz w:val="24"/>
          <w:szCs w:val="24"/>
          <w:shd w:val="clear" w:color="auto" w:fill="FFFFFF"/>
        </w:rPr>
        <w:t>Les autorités municipales, provinciales et féd</w:t>
      </w:r>
      <w:r w:rsidR="00607381">
        <w:rPr>
          <w:rFonts w:ascii="Arial" w:hAnsi="Arial"/>
          <w:sz w:val="24"/>
          <w:szCs w:val="24"/>
          <w:shd w:val="clear" w:color="auto" w:fill="FFFFFF"/>
        </w:rPr>
        <w:t>é</w:t>
      </w:r>
      <w:r w:rsidR="00EC3EDA">
        <w:rPr>
          <w:rFonts w:ascii="Arial" w:hAnsi="Arial"/>
          <w:sz w:val="24"/>
          <w:szCs w:val="24"/>
          <w:shd w:val="clear" w:color="auto" w:fill="FFFFFF"/>
        </w:rPr>
        <w:t>rales du</w:t>
      </w:r>
      <w:r w:rsidRPr="00842A27">
        <w:rPr>
          <w:rFonts w:ascii="Arial" w:hAnsi="Arial"/>
          <w:sz w:val="24"/>
          <w:szCs w:val="24"/>
          <w:shd w:val="clear" w:color="auto" w:fill="FFFFFF"/>
        </w:rPr>
        <w:t xml:space="preserve"> gouvernement canadien </w:t>
      </w:r>
      <w:r w:rsidR="00E10F98">
        <w:rPr>
          <w:rFonts w:ascii="Arial" w:hAnsi="Arial"/>
          <w:sz w:val="24"/>
          <w:szCs w:val="24"/>
          <w:shd w:val="clear" w:color="auto" w:fill="FFFFFF"/>
        </w:rPr>
        <w:t>soutiendront</w:t>
      </w:r>
      <w:r w:rsidR="00EC3EDA">
        <w:rPr>
          <w:rFonts w:ascii="Arial" w:hAnsi="Arial"/>
          <w:sz w:val="24"/>
          <w:szCs w:val="24"/>
          <w:shd w:val="clear" w:color="auto" w:fill="FFFFFF"/>
        </w:rPr>
        <w:t xml:space="preserve"> </w:t>
      </w:r>
      <w:r w:rsidRPr="00842A27">
        <w:rPr>
          <w:rFonts w:ascii="Arial" w:hAnsi="Arial"/>
          <w:sz w:val="24"/>
          <w:szCs w:val="24"/>
          <w:shd w:val="clear" w:color="auto" w:fill="FFFFFF"/>
        </w:rPr>
        <w:t>plein</w:t>
      </w:r>
      <w:r w:rsidR="00EC3EDA">
        <w:rPr>
          <w:rFonts w:ascii="Arial" w:hAnsi="Arial"/>
          <w:sz w:val="24"/>
          <w:szCs w:val="24"/>
          <w:shd w:val="clear" w:color="auto" w:fill="FFFFFF"/>
        </w:rPr>
        <w:t>ement</w:t>
      </w:r>
      <w:r w:rsidRPr="00842A27">
        <w:rPr>
          <w:rFonts w:ascii="Arial" w:hAnsi="Arial"/>
          <w:sz w:val="24"/>
          <w:szCs w:val="24"/>
          <w:shd w:val="clear" w:color="auto" w:fill="FFFFFF"/>
        </w:rPr>
        <w:t xml:space="preserve"> </w:t>
      </w:r>
      <w:r w:rsidR="00607381">
        <w:rPr>
          <w:rFonts w:ascii="Arial" w:hAnsi="Arial"/>
          <w:sz w:val="24"/>
          <w:szCs w:val="24"/>
          <w:shd w:val="clear" w:color="auto" w:fill="FFFFFF"/>
        </w:rPr>
        <w:t>la coentreprise</w:t>
      </w:r>
      <w:r w:rsidRPr="00842A27">
        <w:rPr>
          <w:rFonts w:ascii="Arial" w:hAnsi="Arial"/>
          <w:sz w:val="24"/>
          <w:szCs w:val="24"/>
          <w:shd w:val="clear" w:color="auto" w:fill="FFFFFF"/>
        </w:rPr>
        <w:t>.</w:t>
      </w:r>
    </w:p>
    <w:p w14:paraId="16F65688" w14:textId="6D3467AB" w:rsidR="0007479D" w:rsidRDefault="0007479D" w:rsidP="00830308">
      <w:pPr>
        <w:spacing w:after="0" w:line="240" w:lineRule="auto"/>
        <w:rPr>
          <w:rFonts w:ascii="Arial" w:hAnsi="Arial" w:cs="Arial"/>
          <w:sz w:val="24"/>
          <w:szCs w:val="24"/>
        </w:rPr>
      </w:pPr>
    </w:p>
    <w:p w14:paraId="293AD133" w14:textId="37D2A884" w:rsidR="00020153" w:rsidRPr="00842A27" w:rsidRDefault="00450D04" w:rsidP="00830308">
      <w:pPr>
        <w:spacing w:after="0" w:line="240" w:lineRule="auto"/>
        <w:rPr>
          <w:rFonts w:ascii="Arial" w:hAnsi="Arial" w:cs="Arial"/>
          <w:sz w:val="24"/>
          <w:szCs w:val="24"/>
        </w:rPr>
      </w:pPr>
      <w:r>
        <w:rPr>
          <w:rFonts w:ascii="Arial" w:hAnsi="Arial"/>
          <w:sz w:val="24"/>
          <w:szCs w:val="24"/>
        </w:rPr>
        <w:t>A travers ce choix d’</w:t>
      </w:r>
      <w:r w:rsidR="009C005C" w:rsidRPr="00842A27">
        <w:rPr>
          <w:rFonts w:ascii="Arial" w:hAnsi="Arial"/>
          <w:sz w:val="24"/>
          <w:szCs w:val="24"/>
        </w:rPr>
        <w:t>implantati</w:t>
      </w:r>
      <w:r w:rsidR="009C005C">
        <w:rPr>
          <w:rFonts w:ascii="Arial" w:hAnsi="Arial"/>
          <w:sz w:val="24"/>
          <w:szCs w:val="24"/>
        </w:rPr>
        <w:t>on</w:t>
      </w:r>
      <w:r>
        <w:rPr>
          <w:rFonts w:ascii="Arial" w:hAnsi="Arial"/>
          <w:sz w:val="24"/>
          <w:szCs w:val="24"/>
        </w:rPr>
        <w:t xml:space="preserve"> de </w:t>
      </w:r>
      <w:r w:rsidR="00196042" w:rsidRPr="00842A27">
        <w:rPr>
          <w:rFonts w:ascii="Arial" w:hAnsi="Arial"/>
          <w:sz w:val="24"/>
          <w:szCs w:val="24"/>
        </w:rPr>
        <w:t>leur usine à Windsor,</w:t>
      </w:r>
      <w:r>
        <w:rPr>
          <w:rFonts w:ascii="Arial" w:hAnsi="Arial"/>
          <w:sz w:val="24"/>
          <w:szCs w:val="24"/>
        </w:rPr>
        <w:t xml:space="preserve"> Ontario,</w:t>
      </w:r>
      <w:r w:rsidR="00196042" w:rsidRPr="00842A27">
        <w:rPr>
          <w:rFonts w:ascii="Arial" w:hAnsi="Arial"/>
          <w:sz w:val="24"/>
          <w:szCs w:val="24"/>
        </w:rPr>
        <w:t xml:space="preserve"> capitale canadienne de l’automobile, Stellantis et LG Energy Solution espèrent que </w:t>
      </w:r>
      <w:r>
        <w:rPr>
          <w:rFonts w:ascii="Arial" w:hAnsi="Arial"/>
          <w:sz w:val="24"/>
          <w:szCs w:val="24"/>
        </w:rPr>
        <w:t>ce site</w:t>
      </w:r>
      <w:r w:rsidRPr="00842A27">
        <w:rPr>
          <w:rFonts w:ascii="Arial" w:hAnsi="Arial"/>
          <w:sz w:val="24"/>
          <w:szCs w:val="24"/>
        </w:rPr>
        <w:t xml:space="preserve"> </w:t>
      </w:r>
      <w:r w:rsidR="00196042" w:rsidRPr="00842A27">
        <w:rPr>
          <w:rFonts w:ascii="Arial" w:hAnsi="Arial"/>
          <w:sz w:val="24"/>
          <w:szCs w:val="24"/>
        </w:rPr>
        <w:t xml:space="preserve">servira de catalyseur pour la mise en œuvre d’une solide chaîne </w:t>
      </w:r>
      <w:r w:rsidR="002A1C05">
        <w:rPr>
          <w:rFonts w:ascii="Arial" w:hAnsi="Arial"/>
          <w:sz w:val="24"/>
          <w:szCs w:val="24"/>
        </w:rPr>
        <w:t>d’approvisionnement</w:t>
      </w:r>
      <w:r w:rsidR="00196042" w:rsidRPr="00842A27">
        <w:rPr>
          <w:rFonts w:ascii="Arial" w:hAnsi="Arial"/>
          <w:sz w:val="24"/>
          <w:szCs w:val="24"/>
        </w:rPr>
        <w:t xml:space="preserve"> de batteries dans la région. Le Canada s’engage à mettre en place un vaste écosystème local de batteries en s’appuyant, entre autres, sur son statut de leader mondial dans la production d'électricité issue d</w:t>
      </w:r>
      <w:r>
        <w:rPr>
          <w:rFonts w:ascii="Arial" w:hAnsi="Arial"/>
          <w:sz w:val="24"/>
          <w:szCs w:val="24"/>
        </w:rPr>
        <w:t>’énergies</w:t>
      </w:r>
      <w:r w:rsidR="00196042" w:rsidRPr="00842A27">
        <w:rPr>
          <w:rFonts w:ascii="Arial" w:hAnsi="Arial"/>
          <w:sz w:val="24"/>
          <w:szCs w:val="24"/>
        </w:rPr>
        <w:t xml:space="preserve"> renouvelables.</w:t>
      </w:r>
    </w:p>
    <w:p w14:paraId="6A2E93A2" w14:textId="4A7883BC" w:rsidR="00196042" w:rsidRDefault="00196042" w:rsidP="00830308">
      <w:pPr>
        <w:spacing w:after="0" w:line="240" w:lineRule="auto"/>
        <w:rPr>
          <w:rFonts w:ascii="Arial" w:hAnsi="Arial" w:cs="Arial"/>
          <w:sz w:val="24"/>
          <w:szCs w:val="24"/>
        </w:rPr>
      </w:pPr>
    </w:p>
    <w:p w14:paraId="332F6FB0" w14:textId="367089B3" w:rsidR="00020153" w:rsidRPr="00842A27" w:rsidRDefault="00242AD7" w:rsidP="00830308">
      <w:pPr>
        <w:spacing w:after="0" w:line="240" w:lineRule="auto"/>
        <w:rPr>
          <w:rFonts w:ascii="Arial" w:hAnsi="Arial" w:cs="Arial"/>
          <w:sz w:val="24"/>
          <w:szCs w:val="24"/>
        </w:rPr>
      </w:pPr>
      <w:r w:rsidRPr="00842A27">
        <w:rPr>
          <w:rFonts w:ascii="Arial" w:hAnsi="Arial"/>
          <w:sz w:val="24"/>
          <w:szCs w:val="24"/>
        </w:rPr>
        <w:t xml:space="preserve">« Notre </w:t>
      </w:r>
      <w:r w:rsidR="002A1C05">
        <w:rPr>
          <w:rFonts w:ascii="Arial" w:hAnsi="Arial"/>
          <w:sz w:val="24"/>
          <w:szCs w:val="24"/>
        </w:rPr>
        <w:t>coentreprise</w:t>
      </w:r>
      <w:r w:rsidRPr="00842A27">
        <w:rPr>
          <w:rFonts w:ascii="Arial" w:hAnsi="Arial"/>
          <w:sz w:val="24"/>
          <w:szCs w:val="24"/>
        </w:rPr>
        <w:t xml:space="preserve"> avec LG Energy Solution est une nouvelle étape majeure</w:t>
      </w:r>
      <w:r w:rsidR="00450D04">
        <w:rPr>
          <w:rFonts w:ascii="Arial" w:hAnsi="Arial"/>
          <w:sz w:val="24"/>
          <w:szCs w:val="24"/>
        </w:rPr>
        <w:t xml:space="preserve"> dans</w:t>
      </w:r>
      <w:r w:rsidRPr="00842A27">
        <w:rPr>
          <w:rFonts w:ascii="Arial" w:hAnsi="Arial"/>
          <w:sz w:val="24"/>
          <w:szCs w:val="24"/>
        </w:rPr>
        <w:t xml:space="preserve"> la réalisation de notre objectif d’électrification dans la région</w:t>
      </w:r>
      <w:r w:rsidR="00450D04">
        <w:rPr>
          <w:rFonts w:ascii="Arial" w:hAnsi="Arial"/>
          <w:sz w:val="24"/>
          <w:szCs w:val="24"/>
        </w:rPr>
        <w:t>,</w:t>
      </w:r>
      <w:r w:rsidRPr="00842A27">
        <w:rPr>
          <w:rFonts w:ascii="Arial" w:hAnsi="Arial"/>
          <w:sz w:val="24"/>
          <w:szCs w:val="24"/>
        </w:rPr>
        <w:t xml:space="preserve"> </w:t>
      </w:r>
      <w:r w:rsidR="002A1C05">
        <w:rPr>
          <w:rFonts w:ascii="Arial" w:hAnsi="Arial"/>
          <w:sz w:val="24"/>
          <w:szCs w:val="24"/>
        </w:rPr>
        <w:t xml:space="preserve">visant à atteindre 50% des ventes de </w:t>
      </w:r>
      <w:r w:rsidR="00450D04">
        <w:rPr>
          <w:rFonts w:ascii="Arial" w:hAnsi="Arial"/>
          <w:sz w:val="24"/>
          <w:szCs w:val="24"/>
        </w:rPr>
        <w:t>v</w:t>
      </w:r>
      <w:r w:rsidRPr="00842A27">
        <w:rPr>
          <w:rFonts w:ascii="Arial" w:hAnsi="Arial"/>
          <w:sz w:val="24"/>
          <w:szCs w:val="24"/>
        </w:rPr>
        <w:t>éhicules électri</w:t>
      </w:r>
      <w:r w:rsidR="00450D04">
        <w:rPr>
          <w:rFonts w:ascii="Arial" w:hAnsi="Arial"/>
          <w:sz w:val="24"/>
          <w:szCs w:val="24"/>
        </w:rPr>
        <w:t>ques</w:t>
      </w:r>
      <w:r w:rsidRPr="00842A27">
        <w:rPr>
          <w:rFonts w:ascii="Arial" w:hAnsi="Arial"/>
          <w:sz w:val="24"/>
          <w:szCs w:val="24"/>
        </w:rPr>
        <w:t xml:space="preserve"> aux États-Unis et au Canada à l’horizon 2030 », déclare Carlos Tavares, CEO de Stellantis. « </w:t>
      </w:r>
      <w:r w:rsidRPr="00842A27">
        <w:rPr>
          <w:rFonts w:ascii="Arial" w:hAnsi="Arial"/>
          <w:sz w:val="24"/>
          <w:szCs w:val="24"/>
          <w:shd w:val="clear" w:color="auto" w:fill="FFFFFF"/>
        </w:rPr>
        <w:t xml:space="preserve">Nous remercions les administrations municipale, provinciale et fédérale pour leur soutien et leur </w:t>
      </w:r>
      <w:r w:rsidR="00450D04">
        <w:rPr>
          <w:rFonts w:ascii="Arial" w:hAnsi="Arial"/>
          <w:sz w:val="24"/>
          <w:szCs w:val="24"/>
          <w:shd w:val="clear" w:color="auto" w:fill="FFFFFF"/>
        </w:rPr>
        <w:t xml:space="preserve">engagement à aider à positionner </w:t>
      </w:r>
      <w:r w:rsidRPr="00842A27">
        <w:rPr>
          <w:rFonts w:ascii="Arial" w:hAnsi="Arial"/>
          <w:sz w:val="24"/>
          <w:szCs w:val="24"/>
          <w:shd w:val="clear" w:color="auto" w:fill="FFFFFF"/>
        </w:rPr>
        <w:t>le Canada en tête de la production de batteries pour véhicules électriques en Amérique du Nord. »</w:t>
      </w:r>
    </w:p>
    <w:p w14:paraId="36A9A25B" w14:textId="00258EFB" w:rsidR="00CB451D" w:rsidRDefault="00CB451D">
      <w:pPr>
        <w:widowControl/>
        <w:wordWrap/>
        <w:autoSpaceDE/>
        <w:autoSpaceDN/>
        <w:spacing w:after="160" w:line="259" w:lineRule="auto"/>
        <w:rPr>
          <w:rFonts w:ascii="Arial" w:hAnsi="Arial" w:cs="Arial"/>
          <w:sz w:val="24"/>
          <w:szCs w:val="24"/>
          <w:shd w:val="clear" w:color="auto" w:fill="FFFFFF"/>
        </w:rPr>
      </w:pPr>
      <w:r>
        <w:rPr>
          <w:rFonts w:ascii="Arial" w:hAnsi="Arial" w:cs="Arial"/>
          <w:sz w:val="24"/>
          <w:szCs w:val="24"/>
          <w:shd w:val="clear" w:color="auto" w:fill="FFFFFF"/>
        </w:rPr>
        <w:br w:type="page"/>
      </w:r>
    </w:p>
    <w:p w14:paraId="4CC9D9AC" w14:textId="72BDDF2C" w:rsidR="009C005C" w:rsidRDefault="009C005C" w:rsidP="00830308">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w:t>
      </w:r>
      <w:r w:rsidRPr="009C005C">
        <w:rPr>
          <w:rFonts w:ascii="Arial" w:eastAsia="Times New Roman" w:hAnsi="Arial" w:cs="Arial"/>
          <w:sz w:val="24"/>
          <w:szCs w:val="24"/>
        </w:rPr>
        <w:t xml:space="preserve">Grâce à cette coentreprise, LG Energy Solution pourra se positionner comme un acteur essentiel dans la construction de chaînes de valeur d'énergie verte dans la région », a déclaré </w:t>
      </w:r>
      <w:proofErr w:type="spellStart"/>
      <w:r w:rsidRPr="009C005C">
        <w:rPr>
          <w:rFonts w:ascii="Arial" w:eastAsia="Times New Roman" w:hAnsi="Arial" w:cs="Arial"/>
          <w:sz w:val="24"/>
          <w:szCs w:val="24"/>
        </w:rPr>
        <w:t>Youngsoo</w:t>
      </w:r>
      <w:proofErr w:type="spellEnd"/>
      <w:r w:rsidRPr="009C005C">
        <w:rPr>
          <w:rFonts w:ascii="Arial" w:eastAsia="Times New Roman" w:hAnsi="Arial" w:cs="Arial"/>
          <w:sz w:val="24"/>
          <w:szCs w:val="24"/>
        </w:rPr>
        <w:t xml:space="preserve"> </w:t>
      </w:r>
      <w:proofErr w:type="spellStart"/>
      <w:r w:rsidRPr="009C005C">
        <w:rPr>
          <w:rFonts w:ascii="Arial" w:eastAsia="Times New Roman" w:hAnsi="Arial" w:cs="Arial"/>
          <w:sz w:val="24"/>
          <w:szCs w:val="24"/>
        </w:rPr>
        <w:t>Kwon</w:t>
      </w:r>
      <w:proofErr w:type="spellEnd"/>
      <w:r w:rsidRPr="009C005C">
        <w:rPr>
          <w:rFonts w:ascii="Arial" w:eastAsia="Times New Roman" w:hAnsi="Arial" w:cs="Arial"/>
          <w:sz w:val="24"/>
          <w:szCs w:val="24"/>
        </w:rPr>
        <w:t xml:space="preserve">, </w:t>
      </w:r>
      <w:r>
        <w:rPr>
          <w:rFonts w:ascii="Arial" w:eastAsia="Times New Roman" w:hAnsi="Arial" w:cs="Arial"/>
          <w:sz w:val="24"/>
          <w:szCs w:val="24"/>
        </w:rPr>
        <w:t>CEO</w:t>
      </w:r>
      <w:r w:rsidRPr="009C005C">
        <w:rPr>
          <w:rFonts w:ascii="Arial" w:eastAsia="Times New Roman" w:hAnsi="Arial" w:cs="Arial"/>
          <w:sz w:val="24"/>
          <w:szCs w:val="24"/>
        </w:rPr>
        <w:t xml:space="preserve"> de LG Energy Solution. </w:t>
      </w:r>
      <w:r w:rsidR="00CB451D">
        <w:rPr>
          <w:rFonts w:ascii="Arial" w:eastAsia="Times New Roman" w:hAnsi="Arial" w:cs="Arial"/>
          <w:sz w:val="24"/>
          <w:szCs w:val="24"/>
        </w:rPr>
        <w:t>« </w:t>
      </w:r>
      <w:r w:rsidRPr="009C005C">
        <w:rPr>
          <w:rFonts w:ascii="Arial" w:eastAsia="Times New Roman" w:hAnsi="Arial" w:cs="Arial"/>
          <w:sz w:val="24"/>
          <w:szCs w:val="24"/>
        </w:rPr>
        <w:t>La création d'une coentreprise de fabrication de batteries au Canada, reconnue comme l'un des principaux pays en matière de ressources d'énergie renouvelable, est essentielle pour LG Energy Solution, car nous visons à alimenter plus de véhicules électriques dans le monde.</w:t>
      </w:r>
      <w:r w:rsidR="00CB451D">
        <w:rPr>
          <w:rFonts w:ascii="Arial" w:eastAsia="Times New Roman" w:hAnsi="Arial" w:cs="Arial"/>
          <w:sz w:val="24"/>
          <w:szCs w:val="24"/>
        </w:rPr>
        <w:t> »</w:t>
      </w:r>
    </w:p>
    <w:p w14:paraId="4A86C910" w14:textId="77777777" w:rsidR="009C005C" w:rsidRDefault="009C005C" w:rsidP="00830308">
      <w:pPr>
        <w:spacing w:after="0" w:line="240" w:lineRule="auto"/>
        <w:rPr>
          <w:rFonts w:ascii="Arial" w:eastAsia="Times New Roman" w:hAnsi="Arial" w:cs="Arial"/>
          <w:sz w:val="24"/>
          <w:szCs w:val="24"/>
        </w:rPr>
      </w:pPr>
    </w:p>
    <w:p w14:paraId="1C8FFA32" w14:textId="17C0EB80" w:rsidR="004C3674" w:rsidRPr="00D97790" w:rsidRDefault="003A2A94" w:rsidP="00830308">
      <w:pPr>
        <w:spacing w:after="0" w:line="240" w:lineRule="auto"/>
        <w:rPr>
          <w:rFonts w:ascii="Arial" w:eastAsia="Times New Roman" w:hAnsi="Arial" w:cs="Arial"/>
          <w:iCs/>
          <w:sz w:val="24"/>
          <w:szCs w:val="24"/>
        </w:rPr>
      </w:pPr>
      <w:r w:rsidRPr="00D97790">
        <w:rPr>
          <w:rFonts w:ascii="Arial" w:eastAsia="Times New Roman" w:hAnsi="Arial" w:cs="Arial"/>
          <w:iCs/>
          <w:sz w:val="24"/>
          <w:szCs w:val="24"/>
        </w:rPr>
        <w:t xml:space="preserve">« L'annonce d'aujourd'hui d'une installation </w:t>
      </w:r>
      <w:r w:rsidR="000F7FF9">
        <w:rPr>
          <w:rFonts w:ascii="Arial" w:eastAsia="Times New Roman" w:hAnsi="Arial" w:cs="Arial"/>
          <w:iCs/>
          <w:sz w:val="24"/>
          <w:szCs w:val="24"/>
        </w:rPr>
        <w:t>d’envergure</w:t>
      </w:r>
      <w:r w:rsidRPr="00D97790">
        <w:rPr>
          <w:rFonts w:ascii="Arial" w:eastAsia="Times New Roman" w:hAnsi="Arial" w:cs="Arial"/>
          <w:iCs/>
          <w:sz w:val="24"/>
          <w:szCs w:val="24"/>
        </w:rPr>
        <w:t xml:space="preserve"> mondiale pour la fabrication de batteries de véhicules électriques à Windsor est un investissement </w:t>
      </w:r>
      <w:r w:rsidR="000F7FF9">
        <w:rPr>
          <w:rFonts w:ascii="Arial" w:eastAsia="Times New Roman" w:hAnsi="Arial" w:cs="Arial"/>
          <w:iCs/>
          <w:sz w:val="24"/>
          <w:szCs w:val="24"/>
        </w:rPr>
        <w:t>pour les travailleurs,</w:t>
      </w:r>
      <w:r w:rsidRPr="00D97790">
        <w:rPr>
          <w:rFonts w:ascii="Arial" w:eastAsia="Times New Roman" w:hAnsi="Arial" w:cs="Arial"/>
          <w:iCs/>
          <w:sz w:val="24"/>
          <w:szCs w:val="24"/>
        </w:rPr>
        <w:t xml:space="preserve"> nos communautés et notre avenir. Des partenariats comme ceux-ci sont essentiels pour créer de nouveaux emplois et placer le Canada à la pointe de l'économie propre. En travaillant ensemble, nous créons des milliers de nouveaux emplois, et veillons à ce que les générations futures aient un environnement propre dans lequel vivre</w:t>
      </w:r>
      <w:r w:rsidR="003B6025">
        <w:rPr>
          <w:rFonts w:ascii="Arial" w:eastAsia="Times New Roman" w:hAnsi="Arial" w:cs="Arial"/>
          <w:iCs/>
          <w:sz w:val="24"/>
          <w:szCs w:val="24"/>
        </w:rPr>
        <w:t xml:space="preserve"> » </w:t>
      </w:r>
      <w:r w:rsidR="00353C10" w:rsidRPr="00D97790">
        <w:rPr>
          <w:rFonts w:ascii="Arial" w:eastAsia="Times New Roman" w:hAnsi="Arial" w:cs="Arial"/>
          <w:iCs/>
          <w:sz w:val="24"/>
          <w:szCs w:val="24"/>
        </w:rPr>
        <w:t>–</w:t>
      </w:r>
      <w:r w:rsidR="00353C10">
        <w:rPr>
          <w:rFonts w:ascii="Arial" w:eastAsia="Times New Roman" w:hAnsi="Arial" w:cs="Arial"/>
          <w:iCs/>
          <w:sz w:val="24"/>
          <w:szCs w:val="24"/>
        </w:rPr>
        <w:t xml:space="preserve"> </w:t>
      </w:r>
      <w:r w:rsidRPr="00D97790">
        <w:rPr>
          <w:rFonts w:ascii="Arial" w:eastAsia="Times New Roman" w:hAnsi="Arial" w:cs="Arial"/>
          <w:iCs/>
          <w:sz w:val="24"/>
          <w:szCs w:val="24"/>
        </w:rPr>
        <w:t xml:space="preserve">Justin Trudeau, </w:t>
      </w:r>
      <w:r w:rsidR="003B6025">
        <w:rPr>
          <w:rFonts w:ascii="Arial" w:eastAsia="Times New Roman" w:hAnsi="Arial" w:cs="Arial"/>
          <w:iCs/>
          <w:sz w:val="24"/>
          <w:szCs w:val="24"/>
        </w:rPr>
        <w:t>P</w:t>
      </w:r>
      <w:r w:rsidRPr="00D97790">
        <w:rPr>
          <w:rFonts w:ascii="Arial" w:eastAsia="Times New Roman" w:hAnsi="Arial" w:cs="Arial"/>
          <w:iCs/>
          <w:sz w:val="24"/>
          <w:szCs w:val="24"/>
        </w:rPr>
        <w:t xml:space="preserve">remier </w:t>
      </w:r>
      <w:r w:rsidR="003B6025">
        <w:rPr>
          <w:rFonts w:ascii="Arial" w:eastAsia="Times New Roman" w:hAnsi="Arial" w:cs="Arial"/>
          <w:iCs/>
          <w:sz w:val="24"/>
          <w:szCs w:val="24"/>
        </w:rPr>
        <w:t>M</w:t>
      </w:r>
      <w:r w:rsidRPr="00D97790">
        <w:rPr>
          <w:rFonts w:ascii="Arial" w:eastAsia="Times New Roman" w:hAnsi="Arial" w:cs="Arial"/>
          <w:iCs/>
          <w:sz w:val="24"/>
          <w:szCs w:val="24"/>
        </w:rPr>
        <w:t>inistre du Canada</w:t>
      </w:r>
    </w:p>
    <w:p w14:paraId="6A42207C" w14:textId="77777777" w:rsidR="0088493C" w:rsidRPr="00842A27" w:rsidRDefault="0088493C" w:rsidP="00830308">
      <w:pPr>
        <w:spacing w:after="0" w:line="240" w:lineRule="auto"/>
        <w:rPr>
          <w:rFonts w:ascii="Arial" w:eastAsia="Times New Roman" w:hAnsi="Arial" w:cs="Arial"/>
          <w:i/>
          <w:sz w:val="24"/>
          <w:szCs w:val="24"/>
        </w:rPr>
      </w:pPr>
    </w:p>
    <w:p w14:paraId="2597BD4A" w14:textId="75710AA2" w:rsidR="00F079A3" w:rsidRPr="000C4CD2" w:rsidRDefault="003B6025" w:rsidP="00830308">
      <w:pPr>
        <w:spacing w:after="0" w:line="240" w:lineRule="auto"/>
        <w:rPr>
          <w:rFonts w:ascii="Arial" w:eastAsia="Times New Roman" w:hAnsi="Arial" w:cs="Arial"/>
          <w:iCs/>
          <w:sz w:val="24"/>
          <w:szCs w:val="24"/>
        </w:rPr>
      </w:pPr>
      <w:r w:rsidRPr="00D97790">
        <w:rPr>
          <w:rFonts w:ascii="Arial" w:eastAsia="Times New Roman" w:hAnsi="Arial" w:cs="Arial"/>
          <w:iCs/>
          <w:sz w:val="24"/>
          <w:szCs w:val="24"/>
        </w:rPr>
        <w:t>«</w:t>
      </w:r>
      <w:r w:rsidR="00891A55">
        <w:rPr>
          <w:rFonts w:ascii="Arial" w:eastAsia="Times New Roman" w:hAnsi="Arial" w:cs="Arial"/>
          <w:iCs/>
          <w:sz w:val="24"/>
          <w:szCs w:val="24"/>
        </w:rPr>
        <w:t xml:space="preserve"> </w:t>
      </w:r>
      <w:r>
        <w:rPr>
          <w:rFonts w:ascii="Arial" w:eastAsia="Times New Roman" w:hAnsi="Arial" w:cs="Arial"/>
          <w:iCs/>
          <w:sz w:val="24"/>
          <w:szCs w:val="24"/>
        </w:rPr>
        <w:t>C</w:t>
      </w:r>
      <w:r w:rsidRPr="00D97790">
        <w:rPr>
          <w:rFonts w:ascii="Arial" w:eastAsia="Times New Roman" w:hAnsi="Arial" w:cs="Arial"/>
          <w:iCs/>
          <w:sz w:val="24"/>
          <w:szCs w:val="24"/>
        </w:rPr>
        <w:t>et investissement de plusieurs milliards de dollars assurera la place de l'Ontario en tant que plaque tournante nord-américaine pour la construction de v</w:t>
      </w:r>
      <w:r>
        <w:rPr>
          <w:rFonts w:ascii="Arial" w:eastAsia="Times New Roman" w:hAnsi="Arial" w:cs="Arial"/>
          <w:iCs/>
          <w:sz w:val="24"/>
          <w:szCs w:val="24"/>
        </w:rPr>
        <w:t>éhicules</w:t>
      </w:r>
      <w:r w:rsidRPr="00D97790">
        <w:rPr>
          <w:rFonts w:ascii="Arial" w:eastAsia="Times New Roman" w:hAnsi="Arial" w:cs="Arial"/>
          <w:iCs/>
          <w:sz w:val="24"/>
          <w:szCs w:val="24"/>
        </w:rPr>
        <w:t xml:space="preserve"> et de batteries du futur. </w:t>
      </w:r>
      <w:r w:rsidR="00891A55">
        <w:rPr>
          <w:rFonts w:ascii="Arial" w:eastAsia="Times New Roman" w:hAnsi="Arial" w:cs="Arial"/>
          <w:iCs/>
          <w:sz w:val="24"/>
          <w:szCs w:val="24"/>
        </w:rPr>
        <w:t xml:space="preserve">Ces </w:t>
      </w:r>
      <w:r w:rsidRPr="00D97790">
        <w:rPr>
          <w:rFonts w:ascii="Arial" w:eastAsia="Times New Roman" w:hAnsi="Arial" w:cs="Arial"/>
          <w:iCs/>
          <w:sz w:val="24"/>
          <w:szCs w:val="24"/>
        </w:rPr>
        <w:t>investissements changent la donne</w:t>
      </w:r>
      <w:r w:rsidR="00891A55">
        <w:rPr>
          <w:rFonts w:ascii="Arial" w:eastAsia="Times New Roman" w:hAnsi="Arial" w:cs="Arial"/>
          <w:iCs/>
          <w:sz w:val="24"/>
          <w:szCs w:val="24"/>
        </w:rPr>
        <w:t xml:space="preserve"> et permettent de </w:t>
      </w:r>
      <w:r w:rsidRPr="00D97790">
        <w:rPr>
          <w:rFonts w:ascii="Arial" w:eastAsia="Times New Roman" w:hAnsi="Arial" w:cs="Arial"/>
          <w:iCs/>
          <w:sz w:val="24"/>
          <w:szCs w:val="24"/>
        </w:rPr>
        <w:t>connect</w:t>
      </w:r>
      <w:r w:rsidR="00891A55">
        <w:rPr>
          <w:rFonts w:ascii="Arial" w:eastAsia="Times New Roman" w:hAnsi="Arial" w:cs="Arial"/>
          <w:iCs/>
          <w:sz w:val="24"/>
          <w:szCs w:val="24"/>
        </w:rPr>
        <w:t xml:space="preserve">er </w:t>
      </w:r>
      <w:r w:rsidRPr="00D97790">
        <w:rPr>
          <w:rFonts w:ascii="Arial" w:eastAsia="Times New Roman" w:hAnsi="Arial" w:cs="Arial"/>
          <w:iCs/>
          <w:sz w:val="24"/>
          <w:szCs w:val="24"/>
        </w:rPr>
        <w:t>également les ressources, les industries et les travailleurs du nord de l'Ontario à la puissance manufacturière du sud de l'Ontario pour créer des chaînes d'approvisionnement locales. Chaque région de l'Ontario bénéficiera de la création de milliers d'emplois et d'une économie plus forte qui profite à tous</w:t>
      </w:r>
      <w:r w:rsidR="00CB451D">
        <w:rPr>
          <w:rFonts w:ascii="Arial" w:eastAsia="Times New Roman" w:hAnsi="Arial" w:cs="Arial"/>
          <w:iCs/>
          <w:sz w:val="24"/>
          <w:szCs w:val="24"/>
        </w:rPr>
        <w:t> »</w:t>
      </w:r>
      <w:r w:rsidRPr="00D97790">
        <w:rPr>
          <w:rFonts w:ascii="Arial" w:eastAsia="Times New Roman" w:hAnsi="Arial" w:cs="Arial"/>
          <w:iCs/>
          <w:sz w:val="24"/>
          <w:szCs w:val="24"/>
        </w:rPr>
        <w:t xml:space="preserve"> –</w:t>
      </w:r>
      <w:r w:rsidR="00353C10">
        <w:rPr>
          <w:rFonts w:ascii="Arial" w:eastAsia="Times New Roman" w:hAnsi="Arial" w:cs="Arial"/>
          <w:iCs/>
          <w:sz w:val="24"/>
          <w:szCs w:val="24"/>
        </w:rPr>
        <w:t xml:space="preserve"> </w:t>
      </w:r>
      <w:r w:rsidRPr="00D97790">
        <w:rPr>
          <w:rFonts w:ascii="Arial" w:eastAsia="Times New Roman" w:hAnsi="Arial" w:cs="Arial"/>
          <w:iCs/>
          <w:sz w:val="24"/>
          <w:szCs w:val="24"/>
        </w:rPr>
        <w:t>Doug Ford</w:t>
      </w:r>
      <w:r w:rsidR="00CB451D">
        <w:rPr>
          <w:rFonts w:ascii="Arial" w:eastAsia="Times New Roman" w:hAnsi="Arial" w:cs="Arial"/>
          <w:iCs/>
          <w:sz w:val="24"/>
          <w:szCs w:val="24"/>
        </w:rPr>
        <w:t xml:space="preserve">, </w:t>
      </w:r>
      <w:r w:rsidR="00CB451D" w:rsidRPr="00A37BFD">
        <w:rPr>
          <w:rFonts w:ascii="Arial" w:eastAsia="Times New Roman" w:hAnsi="Arial" w:cs="Arial"/>
          <w:iCs/>
          <w:sz w:val="24"/>
          <w:szCs w:val="24"/>
        </w:rPr>
        <w:t xml:space="preserve">Premier </w:t>
      </w:r>
      <w:r w:rsidR="00CB451D">
        <w:rPr>
          <w:rFonts w:ascii="Arial" w:eastAsia="Times New Roman" w:hAnsi="Arial" w:cs="Arial"/>
          <w:iCs/>
          <w:sz w:val="24"/>
          <w:szCs w:val="24"/>
        </w:rPr>
        <w:t>M</w:t>
      </w:r>
      <w:r w:rsidR="00CB451D" w:rsidRPr="00A37BFD">
        <w:rPr>
          <w:rFonts w:ascii="Arial" w:eastAsia="Times New Roman" w:hAnsi="Arial" w:cs="Arial"/>
          <w:iCs/>
          <w:sz w:val="24"/>
          <w:szCs w:val="24"/>
        </w:rPr>
        <w:t xml:space="preserve">inistre </w:t>
      </w:r>
      <w:r w:rsidR="00CB451D">
        <w:rPr>
          <w:rFonts w:ascii="Arial" w:eastAsia="Times New Roman" w:hAnsi="Arial" w:cs="Arial"/>
          <w:iCs/>
          <w:sz w:val="24"/>
          <w:szCs w:val="24"/>
        </w:rPr>
        <w:t>de l’Ontario</w:t>
      </w:r>
    </w:p>
    <w:p w14:paraId="3B89F1E5" w14:textId="6F82E246" w:rsidR="0007479D" w:rsidRPr="000C4CD2" w:rsidRDefault="00891A55" w:rsidP="000C4CD2">
      <w:pPr>
        <w:pStyle w:val="NormalWeb"/>
        <w:jc w:val="both"/>
        <w:rPr>
          <w:rFonts w:ascii="Arial" w:hAnsi="Arial" w:cs="Arial"/>
          <w:iCs/>
          <w:color w:val="000000"/>
          <w:lang w:val="fr-FR"/>
        </w:rPr>
      </w:pPr>
      <w:r w:rsidRPr="00D97790">
        <w:rPr>
          <w:rFonts w:ascii="Arial" w:hAnsi="Arial" w:cs="Arial"/>
          <w:iCs/>
          <w:color w:val="000000"/>
          <w:lang w:val="fr-FR"/>
        </w:rPr>
        <w:t>«</w:t>
      </w:r>
      <w:r w:rsidR="000C4CD2">
        <w:rPr>
          <w:rFonts w:ascii="Arial" w:hAnsi="Arial" w:cs="Arial"/>
          <w:iCs/>
          <w:color w:val="000000"/>
          <w:lang w:val="fr-FR"/>
        </w:rPr>
        <w:t xml:space="preserve"> </w:t>
      </w:r>
      <w:r w:rsidRPr="00D97790">
        <w:rPr>
          <w:rFonts w:ascii="Arial" w:hAnsi="Arial" w:cs="Arial"/>
          <w:iCs/>
          <w:color w:val="000000"/>
          <w:lang w:val="fr-FR"/>
        </w:rPr>
        <w:t xml:space="preserve">Stellantis est le plus grand employeur de Windsor </w:t>
      </w:r>
      <w:r>
        <w:rPr>
          <w:rFonts w:ascii="Arial" w:hAnsi="Arial" w:cs="Arial"/>
          <w:iCs/>
          <w:color w:val="000000"/>
          <w:lang w:val="fr-FR"/>
        </w:rPr>
        <w:t xml:space="preserve">où il a </w:t>
      </w:r>
      <w:r w:rsidRPr="00D97790">
        <w:rPr>
          <w:rFonts w:ascii="Arial" w:hAnsi="Arial" w:cs="Arial"/>
          <w:iCs/>
          <w:color w:val="000000"/>
          <w:lang w:val="fr-FR"/>
        </w:rPr>
        <w:t>une riche histoire</w:t>
      </w:r>
      <w:r>
        <w:rPr>
          <w:rFonts w:ascii="Arial" w:hAnsi="Arial" w:cs="Arial"/>
          <w:iCs/>
          <w:color w:val="000000"/>
          <w:lang w:val="fr-FR"/>
        </w:rPr>
        <w:t>.</w:t>
      </w:r>
      <w:r w:rsidRPr="00D97790">
        <w:rPr>
          <w:rFonts w:ascii="Arial" w:hAnsi="Arial" w:cs="Arial"/>
          <w:iCs/>
          <w:color w:val="000000"/>
          <w:lang w:val="fr-FR"/>
        </w:rPr>
        <w:t xml:space="preserve"> Chrysler </w:t>
      </w:r>
      <w:r>
        <w:rPr>
          <w:rFonts w:ascii="Arial" w:hAnsi="Arial" w:cs="Arial"/>
          <w:iCs/>
          <w:color w:val="000000"/>
          <w:lang w:val="fr-FR"/>
        </w:rPr>
        <w:t xml:space="preserve">y </w:t>
      </w:r>
      <w:r w:rsidRPr="00D97790">
        <w:rPr>
          <w:rFonts w:ascii="Arial" w:hAnsi="Arial" w:cs="Arial"/>
          <w:iCs/>
          <w:color w:val="000000"/>
          <w:lang w:val="fr-FR"/>
        </w:rPr>
        <w:t xml:space="preserve">a </w:t>
      </w:r>
      <w:r>
        <w:rPr>
          <w:rFonts w:ascii="Arial" w:hAnsi="Arial" w:cs="Arial"/>
          <w:iCs/>
          <w:color w:val="000000"/>
          <w:lang w:val="fr-FR"/>
        </w:rPr>
        <w:t xml:space="preserve">débuté son activité </w:t>
      </w:r>
      <w:r w:rsidRPr="00D97790">
        <w:rPr>
          <w:rFonts w:ascii="Arial" w:hAnsi="Arial" w:cs="Arial"/>
          <w:iCs/>
          <w:color w:val="000000"/>
          <w:lang w:val="fr-FR"/>
        </w:rPr>
        <w:t>192</w:t>
      </w:r>
      <w:r w:rsidR="000C4CD2">
        <w:rPr>
          <w:rFonts w:ascii="Arial" w:hAnsi="Arial" w:cs="Arial"/>
          <w:iCs/>
          <w:color w:val="000000"/>
          <w:lang w:val="fr-FR"/>
        </w:rPr>
        <w:t>5</w:t>
      </w:r>
      <w:r w:rsidRPr="00D97790">
        <w:rPr>
          <w:rFonts w:ascii="Arial" w:hAnsi="Arial" w:cs="Arial"/>
          <w:iCs/>
          <w:color w:val="000000"/>
          <w:lang w:val="fr-FR"/>
        </w:rPr>
        <w:t xml:space="preserve"> </w:t>
      </w:r>
      <w:r>
        <w:rPr>
          <w:rFonts w:ascii="Arial" w:hAnsi="Arial" w:cs="Arial"/>
          <w:iCs/>
          <w:color w:val="000000"/>
          <w:lang w:val="fr-FR"/>
        </w:rPr>
        <w:t>en employant</w:t>
      </w:r>
      <w:r w:rsidRPr="00D97790">
        <w:rPr>
          <w:rFonts w:ascii="Arial" w:hAnsi="Arial" w:cs="Arial"/>
          <w:iCs/>
          <w:color w:val="000000"/>
          <w:lang w:val="fr-FR"/>
        </w:rPr>
        <w:t xml:space="preserve"> des générations de travailleurs de Windsor-Essex. Avec cette annonce, nous assurons l'avenir de milliers de travailleurs locaux supplémentaires et sécurisons l'emplacement stratégique de Windsor </w:t>
      </w:r>
      <w:r>
        <w:rPr>
          <w:rFonts w:ascii="Arial" w:hAnsi="Arial" w:cs="Arial"/>
          <w:iCs/>
          <w:color w:val="000000"/>
          <w:lang w:val="fr-FR"/>
        </w:rPr>
        <w:t xml:space="preserve">pour </w:t>
      </w:r>
      <w:r w:rsidRPr="00D97790">
        <w:rPr>
          <w:rFonts w:ascii="Arial" w:hAnsi="Arial" w:cs="Arial"/>
          <w:iCs/>
          <w:color w:val="000000"/>
          <w:lang w:val="fr-FR"/>
        </w:rPr>
        <w:t xml:space="preserve">l'avenir des véhicules électriques au Canada. Alors que le monde se tourne vers les véhicules électriques, Windsor accueillera bientôt l'usine de fabrication de batteries qui </w:t>
      </w:r>
      <w:r>
        <w:rPr>
          <w:rFonts w:ascii="Arial" w:hAnsi="Arial" w:cs="Arial"/>
          <w:iCs/>
          <w:color w:val="000000"/>
          <w:lang w:val="fr-FR"/>
        </w:rPr>
        <w:t xml:space="preserve">les </w:t>
      </w:r>
      <w:r w:rsidRPr="00D97790">
        <w:rPr>
          <w:rFonts w:ascii="Arial" w:hAnsi="Arial" w:cs="Arial"/>
          <w:iCs/>
          <w:color w:val="000000"/>
          <w:lang w:val="fr-FR"/>
        </w:rPr>
        <w:t>alimente</w:t>
      </w:r>
      <w:r>
        <w:rPr>
          <w:rFonts w:ascii="Arial" w:hAnsi="Arial" w:cs="Arial"/>
          <w:iCs/>
          <w:color w:val="000000"/>
          <w:lang w:val="fr-FR"/>
        </w:rPr>
        <w:t>r</w:t>
      </w:r>
      <w:r w:rsidR="000F7FF9">
        <w:rPr>
          <w:rFonts w:ascii="Arial" w:hAnsi="Arial" w:cs="Arial"/>
          <w:iCs/>
          <w:color w:val="000000"/>
          <w:lang w:val="fr-FR"/>
        </w:rPr>
        <w:t>ont</w:t>
      </w:r>
      <w:r w:rsidRPr="00D97790">
        <w:rPr>
          <w:rFonts w:ascii="Arial" w:hAnsi="Arial" w:cs="Arial"/>
          <w:iCs/>
          <w:color w:val="000000"/>
          <w:lang w:val="fr-FR"/>
        </w:rPr>
        <w:t xml:space="preserve"> » – Drew </w:t>
      </w:r>
      <w:proofErr w:type="spellStart"/>
      <w:r w:rsidRPr="00D97790">
        <w:rPr>
          <w:rFonts w:ascii="Arial" w:hAnsi="Arial" w:cs="Arial"/>
          <w:iCs/>
          <w:color w:val="000000"/>
          <w:lang w:val="fr-FR"/>
        </w:rPr>
        <w:t>Dilkens</w:t>
      </w:r>
      <w:proofErr w:type="spellEnd"/>
      <w:r w:rsidR="00CB451D">
        <w:rPr>
          <w:rFonts w:ascii="Arial" w:hAnsi="Arial" w:cs="Arial"/>
          <w:iCs/>
          <w:color w:val="000000"/>
          <w:lang w:val="fr-FR"/>
        </w:rPr>
        <w:t xml:space="preserve">, </w:t>
      </w:r>
      <w:r w:rsidR="00CB451D" w:rsidRPr="00A37BFD">
        <w:rPr>
          <w:rFonts w:ascii="Arial" w:hAnsi="Arial" w:cs="Arial"/>
          <w:iCs/>
          <w:color w:val="000000"/>
          <w:lang w:val="fr-FR"/>
        </w:rPr>
        <w:t>Maire de Windsor</w:t>
      </w:r>
    </w:p>
    <w:p w14:paraId="342E22DD" w14:textId="72B5870E" w:rsidR="00891A55" w:rsidRPr="000F7FF9" w:rsidRDefault="00891A55" w:rsidP="00830308">
      <w:pPr>
        <w:spacing w:after="0" w:line="240" w:lineRule="auto"/>
        <w:rPr>
          <w:rFonts w:ascii="Arial" w:hAnsi="Arial" w:cs="Arial"/>
          <w:sz w:val="24"/>
          <w:szCs w:val="24"/>
          <w:shd w:val="clear" w:color="auto" w:fill="FFFFFF"/>
        </w:rPr>
      </w:pPr>
      <w:r w:rsidRPr="00D97790">
        <w:rPr>
          <w:rFonts w:ascii="Arial" w:hAnsi="Arial" w:cs="Arial"/>
          <w:sz w:val="24"/>
          <w:szCs w:val="24"/>
        </w:rPr>
        <w:t xml:space="preserve">Dans le cadre de son Plan Stratégique </w:t>
      </w:r>
      <w:hyperlink r:id="rId9" w:history="1">
        <w:r w:rsidRPr="00D97790">
          <w:rPr>
            <w:rStyle w:val="Hyperlink"/>
            <w:rFonts w:ascii="Arial" w:hAnsi="Arial" w:cs="Arial"/>
            <w:sz w:val="24"/>
            <w:szCs w:val="24"/>
          </w:rPr>
          <w:t xml:space="preserve">Dare </w:t>
        </w:r>
        <w:proofErr w:type="spellStart"/>
        <w:r w:rsidRPr="00D97790">
          <w:rPr>
            <w:rStyle w:val="Hyperlink"/>
            <w:rFonts w:ascii="Arial" w:hAnsi="Arial" w:cs="Arial"/>
            <w:sz w:val="24"/>
            <w:szCs w:val="24"/>
          </w:rPr>
          <w:t>Forward</w:t>
        </w:r>
        <w:proofErr w:type="spellEnd"/>
        <w:r w:rsidRPr="00D97790">
          <w:rPr>
            <w:rStyle w:val="Hyperlink"/>
            <w:rFonts w:ascii="Arial" w:hAnsi="Arial" w:cs="Arial"/>
            <w:sz w:val="24"/>
            <w:szCs w:val="24"/>
          </w:rPr>
          <w:t> 2030,</w:t>
        </w:r>
      </w:hyperlink>
      <w:r w:rsidRPr="00D97790">
        <w:rPr>
          <w:rFonts w:ascii="Arial" w:hAnsi="Arial" w:cs="Arial"/>
          <w:sz w:val="24"/>
          <w:szCs w:val="24"/>
        </w:rPr>
        <w:t xml:space="preserve"> Stellantis a annoncé vouloir vendre 5 millions de voitures électriques (BEV) par an dans le monde d’ici 2030 (100 % des ventes de véhicules particuliers en Europe et 50 % des ventes de </w:t>
      </w:r>
      <w:proofErr w:type="gramStart"/>
      <w:r w:rsidRPr="00D97790">
        <w:rPr>
          <w:rFonts w:ascii="Arial" w:hAnsi="Arial" w:cs="Arial"/>
          <w:sz w:val="24"/>
          <w:szCs w:val="24"/>
        </w:rPr>
        <w:t>véhicules</w:t>
      </w:r>
      <w:proofErr w:type="gramEnd"/>
      <w:r w:rsidRPr="00D97790">
        <w:rPr>
          <w:rFonts w:ascii="Arial" w:hAnsi="Arial" w:cs="Arial"/>
          <w:sz w:val="24"/>
          <w:szCs w:val="24"/>
        </w:rPr>
        <w:t xml:space="preserve"> particuliers et de </w:t>
      </w:r>
      <w:proofErr w:type="spellStart"/>
      <w:r w:rsidRPr="00D97790">
        <w:rPr>
          <w:rFonts w:ascii="Arial" w:hAnsi="Arial" w:cs="Arial"/>
          <w:sz w:val="24"/>
          <w:szCs w:val="24"/>
        </w:rPr>
        <w:t>picks</w:t>
      </w:r>
      <w:proofErr w:type="spellEnd"/>
      <w:r w:rsidRPr="00D97790">
        <w:rPr>
          <w:rFonts w:ascii="Arial" w:hAnsi="Arial" w:cs="Arial"/>
          <w:sz w:val="24"/>
          <w:szCs w:val="24"/>
        </w:rPr>
        <w:t xml:space="preserve"> up aux États-Unis). Stellantis compte également augmenter de 140 </w:t>
      </w:r>
      <w:proofErr w:type="gramStart"/>
      <w:r w:rsidRPr="00D97790">
        <w:rPr>
          <w:rFonts w:ascii="Arial" w:hAnsi="Arial" w:cs="Arial"/>
          <w:sz w:val="24"/>
          <w:szCs w:val="24"/>
        </w:rPr>
        <w:t>GWh</w:t>
      </w:r>
      <w:proofErr w:type="gramEnd"/>
      <w:r w:rsidRPr="00D97790">
        <w:rPr>
          <w:rFonts w:ascii="Arial" w:hAnsi="Arial" w:cs="Arial"/>
          <w:sz w:val="24"/>
          <w:szCs w:val="24"/>
        </w:rPr>
        <w:t xml:space="preserve"> sa capacité d’approvisionnement en batteries pour atteindre environ 400 GWh, avec cinq </w:t>
      </w:r>
      <w:proofErr w:type="spellStart"/>
      <w:r w:rsidRPr="00D97790">
        <w:rPr>
          <w:rFonts w:ascii="Arial" w:hAnsi="Arial" w:cs="Arial"/>
          <w:sz w:val="24"/>
          <w:szCs w:val="24"/>
        </w:rPr>
        <w:t>gigafactories</w:t>
      </w:r>
      <w:proofErr w:type="spellEnd"/>
      <w:r w:rsidRPr="00D97790">
        <w:rPr>
          <w:rFonts w:ascii="Arial" w:hAnsi="Arial" w:cs="Arial"/>
          <w:sz w:val="24"/>
          <w:szCs w:val="24"/>
        </w:rPr>
        <w:t xml:space="preserve"> prévues et des contrats d’approvisionnement complémentaires.</w:t>
      </w:r>
    </w:p>
    <w:p w14:paraId="5CA1B08D" w14:textId="3D3F6767" w:rsidR="009C005C" w:rsidRDefault="009C005C">
      <w:pPr>
        <w:widowControl/>
        <w:wordWrap/>
        <w:autoSpaceDE/>
        <w:autoSpaceDN/>
        <w:spacing w:after="160" w:line="259" w:lineRule="auto"/>
        <w:rPr>
          <w:rFonts w:ascii="Arial" w:hAnsi="Arial" w:cs="Arial"/>
          <w:sz w:val="24"/>
          <w:szCs w:val="24"/>
          <w:shd w:val="clear" w:color="auto" w:fill="FFFFFF"/>
        </w:rPr>
      </w:pPr>
      <w:r>
        <w:rPr>
          <w:rFonts w:ascii="Arial" w:hAnsi="Arial" w:cs="Arial"/>
          <w:sz w:val="24"/>
          <w:szCs w:val="24"/>
          <w:shd w:val="clear" w:color="auto" w:fill="FFFFFF"/>
        </w:rPr>
        <w:br w:type="page"/>
      </w:r>
    </w:p>
    <w:p w14:paraId="321A9F44" w14:textId="3995E68E" w:rsidR="00992449" w:rsidRPr="00D97790" w:rsidRDefault="002B33FC" w:rsidP="00992449">
      <w:pPr>
        <w:spacing w:after="0" w:line="240" w:lineRule="auto"/>
        <w:rPr>
          <w:rFonts w:ascii="Arial" w:hAnsi="Arial" w:cs="Arial"/>
          <w:sz w:val="24"/>
          <w:szCs w:val="24"/>
          <w:shd w:val="clear" w:color="auto" w:fill="FFFFFF"/>
        </w:rPr>
      </w:pPr>
      <w:r w:rsidRPr="00D97790">
        <w:rPr>
          <w:rFonts w:ascii="Arial" w:hAnsi="Arial"/>
          <w:sz w:val="24"/>
          <w:szCs w:val="24"/>
          <w:shd w:val="clear" w:color="auto" w:fill="FFFFFF"/>
        </w:rPr>
        <w:lastRenderedPageBreak/>
        <w:t xml:space="preserve">Suite aux récentes annonces, LG Energy Solution affiche désormais une solide capacité annuelle de production de </w:t>
      </w:r>
      <w:r w:rsidR="009C005C" w:rsidRPr="00D97790">
        <w:rPr>
          <w:rFonts w:ascii="Arial" w:hAnsi="Arial"/>
          <w:sz w:val="24"/>
          <w:szCs w:val="24"/>
          <w:shd w:val="clear" w:color="auto" w:fill="FFFFFF"/>
        </w:rPr>
        <w:t xml:space="preserve">plus de </w:t>
      </w:r>
      <w:r w:rsidRPr="00D97790">
        <w:rPr>
          <w:rFonts w:ascii="Arial" w:hAnsi="Arial"/>
          <w:sz w:val="24"/>
          <w:szCs w:val="24"/>
          <w:shd w:val="clear" w:color="auto" w:fill="FFFFFF"/>
        </w:rPr>
        <w:t>200 </w:t>
      </w:r>
      <w:proofErr w:type="gramStart"/>
      <w:r w:rsidRPr="00D97790">
        <w:rPr>
          <w:rFonts w:ascii="Arial" w:hAnsi="Arial"/>
          <w:sz w:val="24"/>
          <w:szCs w:val="24"/>
          <w:shd w:val="clear" w:color="auto" w:fill="FFFFFF"/>
        </w:rPr>
        <w:t>GWh</w:t>
      </w:r>
      <w:proofErr w:type="gramEnd"/>
      <w:r w:rsidRPr="00D97790">
        <w:rPr>
          <w:rFonts w:ascii="Arial" w:hAnsi="Arial"/>
          <w:sz w:val="24"/>
          <w:szCs w:val="24"/>
          <w:shd w:val="clear" w:color="auto" w:fill="FFFFFF"/>
        </w:rPr>
        <w:t xml:space="preserve"> en Amérique du Nord, se tradui</w:t>
      </w:r>
      <w:r w:rsidR="009C005C" w:rsidRPr="00D97790">
        <w:rPr>
          <w:rFonts w:ascii="Arial" w:hAnsi="Arial"/>
          <w:sz w:val="24"/>
          <w:szCs w:val="24"/>
          <w:shd w:val="clear" w:color="auto" w:fill="FFFFFF"/>
        </w:rPr>
        <w:t>sant</w:t>
      </w:r>
      <w:r w:rsidRPr="00D97790">
        <w:rPr>
          <w:rFonts w:ascii="Arial" w:hAnsi="Arial"/>
          <w:sz w:val="24"/>
          <w:szCs w:val="24"/>
          <w:shd w:val="clear" w:color="auto" w:fill="FFFFFF"/>
        </w:rPr>
        <w:t xml:space="preserve"> par la production de 2,5 millions de véhicules électriques haute performan</w:t>
      </w:r>
      <w:r w:rsidR="009C005C" w:rsidRPr="00D97790">
        <w:rPr>
          <w:rFonts w:ascii="Arial" w:hAnsi="Arial"/>
          <w:sz w:val="24"/>
          <w:szCs w:val="24"/>
          <w:shd w:val="clear" w:color="auto" w:fill="FFFFFF"/>
        </w:rPr>
        <w:t>ce</w:t>
      </w:r>
      <w:r w:rsidRPr="00D97790">
        <w:rPr>
          <w:rFonts w:ascii="Arial" w:hAnsi="Arial"/>
          <w:sz w:val="24"/>
          <w:szCs w:val="24"/>
          <w:shd w:val="clear" w:color="auto" w:fill="FFFFFF"/>
        </w:rPr>
        <w:t xml:space="preserve">. Le fabricant de batteries avait auparavant annoncé son intention d’investir quelque 4,6 milliards de dollars américains dans des usines de batteries en Amérique du Nord. À l’échelle mondiale, LGES travaille actuellement au développement de son réseau international de production sur plusieurs continents, dans des pays tels que le Canada, les États-Unis, la Pologne, l’Indonésie, la Chine ou la Corée du Sud. </w:t>
      </w:r>
    </w:p>
    <w:p w14:paraId="792FCD49" w14:textId="2D29EEBE" w:rsidR="00621455" w:rsidRDefault="00621455" w:rsidP="00992449">
      <w:pPr>
        <w:spacing w:after="0" w:line="240" w:lineRule="auto"/>
        <w:rPr>
          <w:rFonts w:ascii="Arial" w:hAnsi="Arial" w:cs="Arial"/>
          <w:sz w:val="24"/>
          <w:szCs w:val="24"/>
          <w:highlight w:val="yellow"/>
          <w:shd w:val="clear" w:color="auto" w:fill="FFFFFF"/>
        </w:rPr>
      </w:pPr>
    </w:p>
    <w:p w14:paraId="682CC0D0" w14:textId="59F56494" w:rsidR="00CB451D" w:rsidRPr="00D97790" w:rsidRDefault="00CB451D" w:rsidP="00CB451D">
      <w:pPr>
        <w:pStyle w:val="SDatePlace"/>
        <w:spacing w:after="0"/>
        <w:jc w:val="both"/>
        <w:rPr>
          <w:rFonts w:ascii="Arial" w:eastAsiaTheme="minorEastAsia" w:hAnsi="Arial"/>
          <w:kern w:val="2"/>
          <w:szCs w:val="24"/>
          <w:shd w:val="clear" w:color="auto" w:fill="FFFFFF"/>
          <w:lang w:eastAsia="ko-KR"/>
        </w:rPr>
      </w:pPr>
      <w:r w:rsidRPr="00D97790">
        <w:rPr>
          <w:rFonts w:ascii="Arial" w:eastAsiaTheme="minorEastAsia" w:hAnsi="Arial"/>
          <w:kern w:val="2"/>
          <w:szCs w:val="24"/>
          <w:shd w:val="clear" w:color="auto" w:fill="FFFFFF"/>
          <w:lang w:eastAsia="ko-KR"/>
        </w:rPr>
        <w:t xml:space="preserve">La transaction est soumise aux conditions habituelles de </w:t>
      </w:r>
      <w:proofErr w:type="spellStart"/>
      <w:r w:rsidRPr="00D97790">
        <w:rPr>
          <w:rFonts w:ascii="Arial" w:eastAsiaTheme="minorEastAsia" w:hAnsi="Arial"/>
          <w:kern w:val="2"/>
          <w:szCs w:val="24"/>
          <w:shd w:val="clear" w:color="auto" w:fill="FFFFFF"/>
          <w:lang w:eastAsia="ko-KR"/>
        </w:rPr>
        <w:t>c</w:t>
      </w:r>
      <w:r w:rsidR="00ED6DCE">
        <w:rPr>
          <w:rFonts w:ascii="Arial" w:eastAsiaTheme="minorEastAsia" w:hAnsi="Arial"/>
          <w:kern w:val="2"/>
          <w:szCs w:val="24"/>
          <w:shd w:val="clear" w:color="auto" w:fill="FFFFFF"/>
          <w:lang w:eastAsia="ko-KR"/>
        </w:rPr>
        <w:t>losing</w:t>
      </w:r>
      <w:proofErr w:type="spellEnd"/>
      <w:r w:rsidRPr="00D97790">
        <w:rPr>
          <w:rFonts w:ascii="Arial" w:eastAsiaTheme="minorEastAsia" w:hAnsi="Arial"/>
          <w:kern w:val="2"/>
          <w:szCs w:val="24"/>
          <w:shd w:val="clear" w:color="auto" w:fill="FFFFFF"/>
          <w:lang w:eastAsia="ko-KR"/>
        </w:rPr>
        <w:t>, incluant les a</w:t>
      </w:r>
      <w:r w:rsidR="00ED6DCE">
        <w:rPr>
          <w:rFonts w:ascii="Arial" w:eastAsiaTheme="minorEastAsia" w:hAnsi="Arial"/>
          <w:kern w:val="2"/>
          <w:szCs w:val="24"/>
          <w:shd w:val="clear" w:color="auto" w:fill="FFFFFF"/>
          <w:lang w:eastAsia="ko-KR"/>
        </w:rPr>
        <w:t>utorisations</w:t>
      </w:r>
      <w:r w:rsidRPr="00D97790">
        <w:rPr>
          <w:rFonts w:ascii="Arial" w:eastAsiaTheme="minorEastAsia" w:hAnsi="Arial"/>
          <w:kern w:val="2"/>
          <w:szCs w:val="24"/>
          <w:shd w:val="clear" w:color="auto" w:fill="FFFFFF"/>
          <w:lang w:eastAsia="ko-KR"/>
        </w:rPr>
        <w:t xml:space="preserve"> réglementaires.</w:t>
      </w:r>
    </w:p>
    <w:p w14:paraId="17EDCBC6" w14:textId="77777777" w:rsidR="00CB451D" w:rsidRPr="003A06B2" w:rsidRDefault="00CB451D" w:rsidP="00CB451D">
      <w:pPr>
        <w:pStyle w:val="SDatePlace"/>
        <w:spacing w:after="0"/>
      </w:pPr>
    </w:p>
    <w:p w14:paraId="127BBE74" w14:textId="77777777" w:rsidR="00CB451D" w:rsidRPr="00D97790" w:rsidRDefault="00CB451D" w:rsidP="00CB451D">
      <w:pPr>
        <w:pStyle w:val="SDatePlace"/>
        <w:spacing w:after="0"/>
        <w:jc w:val="center"/>
        <w:rPr>
          <w:rFonts w:ascii="Arial" w:hAnsi="Arial" w:cs="Arial"/>
          <w:sz w:val="20"/>
          <w:szCs w:val="14"/>
        </w:rPr>
      </w:pPr>
      <w:r w:rsidRPr="00D97790">
        <w:rPr>
          <w:rFonts w:ascii="Arial" w:hAnsi="Arial" w:cs="Arial"/>
          <w:sz w:val="20"/>
          <w:szCs w:val="14"/>
        </w:rPr>
        <w:t># # #</w:t>
      </w:r>
    </w:p>
    <w:p w14:paraId="3CB8C09F" w14:textId="77777777" w:rsidR="00CB451D" w:rsidRPr="00842A27" w:rsidRDefault="00CB451D" w:rsidP="00992449">
      <w:pPr>
        <w:spacing w:after="0" w:line="240" w:lineRule="auto"/>
        <w:rPr>
          <w:rFonts w:ascii="Arial" w:hAnsi="Arial" w:cs="Arial"/>
          <w:sz w:val="24"/>
          <w:szCs w:val="24"/>
          <w:highlight w:val="yellow"/>
          <w:shd w:val="clear" w:color="auto" w:fill="FFFFFF"/>
        </w:rPr>
      </w:pPr>
    </w:p>
    <w:p w14:paraId="18F01716" w14:textId="09D2AEAA" w:rsidR="009C005C" w:rsidRDefault="00CB451D" w:rsidP="00A347A1">
      <w:pPr>
        <w:tabs>
          <w:tab w:val="left" w:pos="4140"/>
        </w:tabs>
        <w:spacing w:after="0" w:line="240" w:lineRule="auto"/>
        <w:contextualSpacing/>
        <w:rPr>
          <w:rFonts w:ascii="Arial" w:hAnsi="Arial"/>
          <w:b/>
          <w:sz w:val="24"/>
          <w:szCs w:val="24"/>
        </w:rPr>
      </w:pPr>
      <w:r w:rsidRPr="00D97790">
        <w:rPr>
          <w:rFonts w:ascii="Arial" w:eastAsia="Arial" w:hAnsi="Arial" w:cs="Arial"/>
          <w:b/>
          <w:szCs w:val="20"/>
        </w:rPr>
        <w:t>A propo</w:t>
      </w:r>
      <w:r>
        <w:rPr>
          <w:rFonts w:ascii="Arial" w:eastAsia="Arial" w:hAnsi="Arial" w:cs="Arial"/>
          <w:b/>
          <w:szCs w:val="20"/>
        </w:rPr>
        <w:t>s</w:t>
      </w:r>
      <w:r w:rsidRPr="00D97790">
        <w:rPr>
          <w:rFonts w:ascii="Arial" w:eastAsia="Arial" w:hAnsi="Arial" w:cs="Arial"/>
          <w:b/>
          <w:szCs w:val="20"/>
        </w:rPr>
        <w:t xml:space="preserve"> de Stellantis</w:t>
      </w:r>
    </w:p>
    <w:p w14:paraId="2444EE08" w14:textId="60E294FE" w:rsidR="00A347A1" w:rsidRPr="00D97790" w:rsidRDefault="00842A27" w:rsidP="00A347A1">
      <w:pPr>
        <w:tabs>
          <w:tab w:val="left" w:pos="4140"/>
        </w:tabs>
        <w:spacing w:after="0" w:line="240" w:lineRule="auto"/>
        <w:contextualSpacing/>
        <w:rPr>
          <w:rFonts w:ascii="Arial" w:eastAsia="Arial" w:hAnsi="Arial" w:cs="Arial"/>
          <w:szCs w:val="20"/>
        </w:rPr>
      </w:pPr>
      <w:r w:rsidRPr="00D97790">
        <w:rPr>
          <w:rFonts w:ascii="Arial" w:hAnsi="Arial"/>
          <w:szCs w:val="20"/>
        </w:rPr>
        <w:t xml:space="preserve">Stellantis N.V. (NYSE / MTA / Euronext Paris : STLA) fait partie des principaux constructeurs automobiles et fournisseurs de services de mobilité internationaux. </w:t>
      </w:r>
      <w:proofErr w:type="spellStart"/>
      <w:r w:rsidRPr="00D97790">
        <w:rPr>
          <w:rFonts w:ascii="Arial" w:hAnsi="Arial"/>
          <w:szCs w:val="20"/>
        </w:rPr>
        <w:t>Abarth</w:t>
      </w:r>
      <w:proofErr w:type="spellEnd"/>
      <w:r w:rsidRPr="00D97790">
        <w:rPr>
          <w:rFonts w:ascii="Arial" w:hAnsi="Arial"/>
          <w:szCs w:val="20"/>
        </w:rPr>
        <w:t xml:space="preserve">, Alfa Romeo, Chrysler, Citroën, Dodge, DS Automobiles, Fiat, Jeep®, Lancia, Maserati, Opel, Peugeot, Ram, Vauxhall, Free2move et </w:t>
      </w:r>
      <w:proofErr w:type="spellStart"/>
      <w:r w:rsidRPr="00D97790">
        <w:rPr>
          <w:rFonts w:ascii="Arial" w:hAnsi="Arial"/>
          <w:szCs w:val="20"/>
        </w:rPr>
        <w:t>Leasys</w:t>
      </w:r>
      <w:proofErr w:type="spellEnd"/>
      <w:r w:rsidRPr="00D97790">
        <w:rPr>
          <w:rFonts w:ascii="Arial" w:hAnsi="Arial"/>
          <w:szCs w:val="20"/>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sidRPr="00D97790">
        <w:rPr>
          <w:rFonts w:ascii="Arial" w:hAnsi="Arial"/>
          <w:szCs w:val="20"/>
        </w:rPr>
        <w:t>company</w:t>
      </w:r>
      <w:proofErr w:type="spellEnd"/>
      <w:r w:rsidRPr="00D97790">
        <w:rPr>
          <w:rFonts w:ascii="Arial" w:hAnsi="Arial"/>
          <w:szCs w:val="20"/>
        </w:rPr>
        <w:t xml:space="preserve"> de mobilité durable, en termes de qualité et non de taille, tout en créant encore plus de valeur pour l’ensemble de nos partenaires et des communautés au sein desquelles nous opérons. Pour en savoir plus, </w:t>
      </w:r>
      <w:hyperlink r:id="rId10" w:history="1">
        <w:r w:rsidRPr="00D97790">
          <w:rPr>
            <w:rStyle w:val="Hyperlink"/>
            <w:rFonts w:ascii="Arial" w:hAnsi="Arial"/>
            <w:szCs w:val="20"/>
          </w:rPr>
          <w:t>www.stellantis.com/fr</w:t>
        </w:r>
      </w:hyperlink>
    </w:p>
    <w:p w14:paraId="48690DA4" w14:textId="77777777" w:rsidR="00A347A1" w:rsidRPr="00842A27" w:rsidRDefault="00A347A1" w:rsidP="005D28B8">
      <w:pPr>
        <w:pStyle w:val="NoSpacing"/>
        <w:spacing w:line="259" w:lineRule="auto"/>
        <w:jc w:val="both"/>
        <w:rPr>
          <w:rFonts w:ascii="Arial" w:hAnsi="Arial" w:cs="Arial"/>
          <w:b/>
          <w:sz w:val="24"/>
          <w:szCs w:val="24"/>
        </w:rPr>
      </w:pPr>
    </w:p>
    <w:p w14:paraId="266514BF" w14:textId="421F5E14" w:rsidR="005D28B8" w:rsidRPr="00D97790" w:rsidRDefault="005D28B8" w:rsidP="005D28B8">
      <w:pPr>
        <w:pStyle w:val="NoSpacing"/>
        <w:spacing w:line="259" w:lineRule="auto"/>
        <w:jc w:val="both"/>
        <w:rPr>
          <w:rFonts w:ascii="Arial" w:hAnsi="Arial" w:cs="Arial"/>
          <w:b/>
          <w:sz w:val="20"/>
          <w:szCs w:val="20"/>
        </w:rPr>
      </w:pPr>
      <w:r w:rsidRPr="00D97790">
        <w:rPr>
          <w:rFonts w:ascii="Arial" w:hAnsi="Arial"/>
          <w:b/>
          <w:sz w:val="20"/>
          <w:szCs w:val="20"/>
        </w:rPr>
        <w:t>À propos de LG Energy Solution</w:t>
      </w:r>
    </w:p>
    <w:p w14:paraId="0ED9BAD5" w14:textId="79220145" w:rsidR="005D28B8" w:rsidRPr="00D97790" w:rsidRDefault="005D28B8" w:rsidP="005D28B8">
      <w:pPr>
        <w:pStyle w:val="NoSpacing"/>
        <w:jc w:val="both"/>
        <w:rPr>
          <w:rFonts w:ascii="Arial" w:hAnsi="Arial" w:cs="Arial"/>
          <w:sz w:val="20"/>
          <w:szCs w:val="20"/>
        </w:rPr>
      </w:pPr>
      <w:r w:rsidRPr="00D97790">
        <w:rPr>
          <w:rFonts w:ascii="Arial" w:hAnsi="Arial"/>
          <w:sz w:val="20"/>
          <w:szCs w:val="20"/>
        </w:rPr>
        <w:t>LG Energy Solution (</w:t>
      </w:r>
      <w:proofErr w:type="gramStart"/>
      <w:r w:rsidRPr="00D97790">
        <w:rPr>
          <w:rFonts w:ascii="Arial" w:hAnsi="Arial"/>
          <w:sz w:val="20"/>
          <w:szCs w:val="20"/>
          <w:shd w:val="clear" w:color="auto" w:fill="FFFFFF"/>
        </w:rPr>
        <w:t>KRX:</w:t>
      </w:r>
      <w:proofErr w:type="gramEnd"/>
      <w:r w:rsidRPr="00D97790">
        <w:rPr>
          <w:rFonts w:ascii="Arial" w:hAnsi="Arial"/>
          <w:sz w:val="20"/>
          <w:szCs w:val="20"/>
          <w:shd w:val="clear" w:color="auto" w:fill="FFFFFF"/>
        </w:rPr>
        <w:t xml:space="preserve"> 373220) </w:t>
      </w:r>
      <w:r w:rsidRPr="00D97790">
        <w:rPr>
          <w:rFonts w:ascii="Arial" w:hAnsi="Arial"/>
          <w:sz w:val="20"/>
          <w:szCs w:val="20"/>
        </w:rPr>
        <w:t xml:space="preserve">est un leader mondial dans le domaine des batteries lithium-ion de pointe pour les véhicules électriques (EV), les applications de mobilité et d'informatique, et les systèmes de stockage d'énergie (ESS). Forte de 30 ans d'expérience dans la technologie avancée des batteries, elle poursuit sa croissance rapide vers la réalisation d'une vie durable. Avec son solide réseau mondial qui s'étend aux États-Unis, en Europe, en Asie et en Australie, LG Energy Solution est plus engagée que jamais dans le développement de technologies innovantes qui rapprocheront l'énergie du futur. Conformément à sa vision ESG « Nous </w:t>
      </w:r>
      <w:r w:rsidR="00CB451D" w:rsidRPr="00D97790">
        <w:rPr>
          <w:rFonts w:ascii="Arial" w:hAnsi="Arial"/>
          <w:sz w:val="20"/>
          <w:szCs w:val="20"/>
        </w:rPr>
        <w:t>charge</w:t>
      </w:r>
      <w:r w:rsidRPr="00D97790">
        <w:rPr>
          <w:rFonts w:ascii="Arial" w:hAnsi="Arial"/>
          <w:sz w:val="20"/>
          <w:szCs w:val="20"/>
        </w:rPr>
        <w:t xml:space="preserve">rons vers un avenir meilleur », LG Energy Solution ne ménage aucun effort pour prioriser l’environnement, assumer ses responsabilités sociales et bâtir un avenir durable. Pour </w:t>
      </w:r>
      <w:r w:rsidR="00CB451D" w:rsidRPr="00D97790">
        <w:rPr>
          <w:rFonts w:ascii="Arial" w:hAnsi="Arial"/>
          <w:sz w:val="20"/>
          <w:szCs w:val="20"/>
        </w:rPr>
        <w:t xml:space="preserve">en savoir plus : </w:t>
      </w:r>
      <w:hyperlink r:id="rId11" w:history="1">
        <w:r w:rsidRPr="00D97790">
          <w:rPr>
            <w:rStyle w:val="Hyperlink"/>
            <w:rFonts w:ascii="Arial" w:hAnsi="Arial"/>
            <w:sz w:val="20"/>
            <w:szCs w:val="20"/>
          </w:rPr>
          <w:t>https://www.lgensol.com</w:t>
        </w:r>
      </w:hyperlink>
      <w:r w:rsidRPr="00D97790">
        <w:rPr>
          <w:rFonts w:ascii="Arial" w:hAnsi="Arial"/>
          <w:sz w:val="20"/>
          <w:szCs w:val="20"/>
        </w:rPr>
        <w:t xml:space="preserve">. </w:t>
      </w:r>
    </w:p>
    <w:p w14:paraId="33B6976D" w14:textId="77777777" w:rsidR="00603406" w:rsidRPr="00842A27" w:rsidRDefault="00603406" w:rsidP="005C18FB">
      <w:pPr>
        <w:spacing w:after="0" w:line="240" w:lineRule="auto"/>
        <w:rPr>
          <w:rFonts w:ascii="Arial" w:hAnsi="Arial" w:cs="Arial"/>
          <w:sz w:val="24"/>
          <w:szCs w:val="24"/>
        </w:rPr>
      </w:pPr>
    </w:p>
    <w:p w14:paraId="2AB61C75" w14:textId="70DAF831" w:rsidR="00CB451D" w:rsidRDefault="00CB451D">
      <w:pPr>
        <w:widowControl/>
        <w:wordWrap/>
        <w:autoSpaceDE/>
        <w:autoSpaceDN/>
        <w:spacing w:after="160" w:line="259" w:lineRule="auto"/>
        <w:rPr>
          <w:rFonts w:ascii="Arial" w:hAnsi="Arial" w:cs="Arial"/>
          <w:b/>
          <w:sz w:val="24"/>
          <w:szCs w:val="24"/>
        </w:rPr>
      </w:pPr>
      <w:r>
        <w:rPr>
          <w:rFonts w:ascii="Arial" w:hAnsi="Arial" w:cs="Arial"/>
          <w:b/>
          <w:sz w:val="24"/>
          <w:szCs w:val="24"/>
        </w:rPr>
        <w:br w:type="page"/>
      </w:r>
    </w:p>
    <w:p w14:paraId="27E995CF" w14:textId="2797B28D" w:rsidR="00603406" w:rsidRPr="000C4CD2" w:rsidRDefault="00603406" w:rsidP="00603406">
      <w:pPr>
        <w:spacing w:after="0"/>
        <w:rPr>
          <w:rFonts w:ascii="Arial" w:eastAsia="Arial" w:hAnsi="Arial" w:cs="Arial"/>
          <w:b/>
          <w:sz w:val="24"/>
          <w:szCs w:val="24"/>
        </w:rPr>
      </w:pPr>
      <w:r w:rsidRPr="000C4CD2">
        <w:rPr>
          <w:rFonts w:ascii="Arial" w:hAnsi="Arial"/>
          <w:b/>
          <w:sz w:val="24"/>
          <w:szCs w:val="24"/>
        </w:rPr>
        <w:lastRenderedPageBreak/>
        <w:t>Contacts :</w:t>
      </w:r>
    </w:p>
    <w:p w14:paraId="03A85DD3" w14:textId="77777777" w:rsidR="0007479D" w:rsidRPr="000C4CD2" w:rsidRDefault="0007479D" w:rsidP="00C21D55">
      <w:pPr>
        <w:spacing w:after="0" w:line="240" w:lineRule="auto"/>
        <w:rPr>
          <w:rFonts w:ascii="Arial" w:eastAsia="Arial" w:hAnsi="Arial" w:cs="Arial"/>
          <w:b/>
          <w:sz w:val="24"/>
          <w:szCs w:val="24"/>
        </w:rPr>
      </w:pPr>
    </w:p>
    <w:p w14:paraId="324174DB" w14:textId="77777777" w:rsidR="00603406" w:rsidRPr="000C4CD2" w:rsidRDefault="00603406" w:rsidP="00603406">
      <w:pPr>
        <w:spacing w:after="0"/>
        <w:rPr>
          <w:rFonts w:ascii="Arial" w:eastAsia="Arial" w:hAnsi="Arial" w:cs="Arial"/>
          <w:b/>
          <w:szCs w:val="20"/>
        </w:rPr>
      </w:pPr>
      <w:r w:rsidRPr="000C4CD2">
        <w:rPr>
          <w:rFonts w:ascii="Arial" w:hAnsi="Arial" w:cs="Arial"/>
          <w:b/>
          <w:szCs w:val="20"/>
        </w:rPr>
        <w:t xml:space="preserve">Sally </w:t>
      </w:r>
      <w:proofErr w:type="spellStart"/>
      <w:r w:rsidRPr="000C4CD2">
        <w:rPr>
          <w:rFonts w:ascii="Arial" w:hAnsi="Arial" w:cs="Arial"/>
          <w:b/>
          <w:szCs w:val="20"/>
        </w:rPr>
        <w:t>Seung</w:t>
      </w:r>
      <w:proofErr w:type="spellEnd"/>
      <w:r w:rsidRPr="000C4CD2">
        <w:rPr>
          <w:rFonts w:ascii="Arial" w:hAnsi="Arial" w:cs="Arial"/>
          <w:b/>
          <w:szCs w:val="20"/>
        </w:rPr>
        <w:t xml:space="preserve"> </w:t>
      </w:r>
      <w:proofErr w:type="spellStart"/>
      <w:r w:rsidRPr="000C4CD2">
        <w:rPr>
          <w:rFonts w:ascii="Arial" w:hAnsi="Arial" w:cs="Arial"/>
          <w:b/>
          <w:szCs w:val="20"/>
        </w:rPr>
        <w:t>Yeon</w:t>
      </w:r>
      <w:proofErr w:type="spellEnd"/>
      <w:r w:rsidRPr="000C4CD2">
        <w:rPr>
          <w:rFonts w:ascii="Arial" w:hAnsi="Arial" w:cs="Arial"/>
          <w:b/>
          <w:szCs w:val="20"/>
        </w:rPr>
        <w:t xml:space="preserve"> Lee</w:t>
      </w:r>
    </w:p>
    <w:p w14:paraId="142CC237" w14:textId="77777777" w:rsidR="00603406" w:rsidRPr="000C4CD2" w:rsidRDefault="00603406" w:rsidP="00603406">
      <w:pPr>
        <w:spacing w:after="0"/>
        <w:rPr>
          <w:rFonts w:ascii="Arial" w:hAnsi="Arial" w:cs="Arial"/>
          <w:szCs w:val="20"/>
          <w:lang w:val="en-GB"/>
        </w:rPr>
      </w:pPr>
      <w:r w:rsidRPr="000C4CD2">
        <w:rPr>
          <w:rFonts w:ascii="Arial" w:hAnsi="Arial" w:cs="Arial"/>
          <w:szCs w:val="20"/>
          <w:lang w:val="en-GB"/>
        </w:rPr>
        <w:t xml:space="preserve">Global Communications Team / LG Energy Solution </w:t>
      </w:r>
    </w:p>
    <w:p w14:paraId="1423647E" w14:textId="77777777" w:rsidR="00603406" w:rsidRPr="000C4CD2" w:rsidRDefault="00603406" w:rsidP="00603406">
      <w:pPr>
        <w:spacing w:after="0"/>
        <w:rPr>
          <w:rFonts w:ascii="Arial" w:hAnsi="Arial" w:cs="Arial"/>
          <w:szCs w:val="20"/>
          <w:lang w:val="en-GB"/>
        </w:rPr>
      </w:pPr>
      <w:r w:rsidRPr="000C4CD2">
        <w:rPr>
          <w:rFonts w:ascii="Arial" w:hAnsi="Arial" w:cs="Arial"/>
          <w:szCs w:val="20"/>
          <w:lang w:val="en-GB"/>
        </w:rPr>
        <w:t>lsyciel@lgensol.com</w:t>
      </w:r>
    </w:p>
    <w:p w14:paraId="2CD2E534" w14:textId="77777777" w:rsidR="00603406" w:rsidRPr="000C4CD2" w:rsidRDefault="00603406" w:rsidP="00603406">
      <w:pPr>
        <w:spacing w:after="0"/>
        <w:rPr>
          <w:rFonts w:ascii="Arial" w:hAnsi="Arial" w:cs="Arial"/>
          <w:szCs w:val="20"/>
          <w:lang w:val="en-GB"/>
        </w:rPr>
      </w:pPr>
      <w:r w:rsidRPr="000C4CD2">
        <w:rPr>
          <w:rFonts w:ascii="Arial" w:hAnsi="Arial" w:cs="Arial"/>
          <w:szCs w:val="20"/>
          <w:lang w:val="en-GB"/>
        </w:rPr>
        <w:t>+82 2 3773 6571</w:t>
      </w:r>
    </w:p>
    <w:p w14:paraId="31AFD4E8" w14:textId="77777777" w:rsidR="00603406" w:rsidRPr="000C4CD2" w:rsidRDefault="00603406" w:rsidP="00603406">
      <w:pPr>
        <w:spacing w:after="0"/>
        <w:rPr>
          <w:rFonts w:ascii="Arial" w:hAnsi="Arial" w:cs="Arial"/>
          <w:b/>
          <w:szCs w:val="20"/>
          <w:lang w:val="en-GB"/>
        </w:rPr>
      </w:pPr>
    </w:p>
    <w:p w14:paraId="41879A07" w14:textId="77777777" w:rsidR="00603406" w:rsidRPr="000C4CD2" w:rsidRDefault="00603406" w:rsidP="00603406">
      <w:pPr>
        <w:spacing w:after="0"/>
        <w:rPr>
          <w:rFonts w:ascii="Arial" w:eastAsia="Arial" w:hAnsi="Arial" w:cs="Arial"/>
          <w:b/>
          <w:szCs w:val="20"/>
          <w:lang w:val="en-GB"/>
        </w:rPr>
      </w:pPr>
      <w:r w:rsidRPr="000C4CD2">
        <w:rPr>
          <w:rFonts w:ascii="Arial" w:hAnsi="Arial" w:cs="Arial"/>
          <w:b/>
          <w:szCs w:val="20"/>
          <w:lang w:val="en-GB"/>
        </w:rPr>
        <w:t>Ashlee Semin Shin</w:t>
      </w:r>
    </w:p>
    <w:p w14:paraId="0A2CDEE8" w14:textId="77777777" w:rsidR="00603406" w:rsidRPr="000C4CD2" w:rsidRDefault="00603406" w:rsidP="00603406">
      <w:pPr>
        <w:spacing w:after="0"/>
        <w:rPr>
          <w:rFonts w:ascii="Arial" w:eastAsia="Arial" w:hAnsi="Arial" w:cs="Arial"/>
          <w:szCs w:val="20"/>
          <w:lang w:val="en-GB"/>
        </w:rPr>
      </w:pPr>
      <w:r w:rsidRPr="000C4CD2">
        <w:rPr>
          <w:rFonts w:ascii="Arial" w:hAnsi="Arial" w:cs="Arial"/>
          <w:szCs w:val="20"/>
          <w:lang w:val="en-GB"/>
        </w:rPr>
        <w:t xml:space="preserve">Global Communications Team / LG Energy Solution </w:t>
      </w:r>
    </w:p>
    <w:p w14:paraId="76700E05" w14:textId="77777777" w:rsidR="00603406" w:rsidRPr="00E132C9" w:rsidRDefault="00353C10" w:rsidP="00603406">
      <w:pPr>
        <w:spacing w:after="0"/>
        <w:rPr>
          <w:rFonts w:ascii="Arial" w:eastAsia="Arial" w:hAnsi="Arial" w:cs="Arial"/>
          <w:szCs w:val="20"/>
          <w:lang w:val="en-GB"/>
        </w:rPr>
      </w:pPr>
      <w:hyperlink r:id="rId12" w:history="1">
        <w:r w:rsidR="00445EFD" w:rsidRPr="00E132C9">
          <w:rPr>
            <w:rFonts w:ascii="Arial" w:hAnsi="Arial" w:cs="Arial"/>
            <w:szCs w:val="20"/>
            <w:lang w:val="en-GB"/>
          </w:rPr>
          <w:t>ashin0@lgensol.com</w:t>
        </w:r>
      </w:hyperlink>
    </w:p>
    <w:p w14:paraId="43D6C84F" w14:textId="77777777" w:rsidR="00603406" w:rsidRPr="00E132C9" w:rsidRDefault="00603406" w:rsidP="00603406">
      <w:pPr>
        <w:spacing w:after="0"/>
        <w:rPr>
          <w:rFonts w:ascii="Arial" w:eastAsia="Arial" w:hAnsi="Arial" w:cs="Arial"/>
          <w:szCs w:val="20"/>
          <w:lang w:val="en-GB"/>
        </w:rPr>
      </w:pPr>
      <w:r w:rsidRPr="00E132C9">
        <w:rPr>
          <w:rFonts w:ascii="Arial" w:hAnsi="Arial" w:cs="Arial"/>
          <w:szCs w:val="20"/>
          <w:lang w:val="en-GB"/>
        </w:rPr>
        <w:t>+ 82 2 3773 4381</w:t>
      </w:r>
    </w:p>
    <w:p w14:paraId="4A206931" w14:textId="77777777" w:rsidR="00CE6AA6" w:rsidRPr="00E132C9" w:rsidRDefault="00CE6AA6" w:rsidP="00C21D55">
      <w:pPr>
        <w:spacing w:after="0" w:line="240" w:lineRule="auto"/>
        <w:rPr>
          <w:rFonts w:ascii="Arial" w:eastAsia="Arial" w:hAnsi="Arial" w:cs="Arial"/>
          <w:szCs w:val="20"/>
          <w:lang w:val="en-GB"/>
        </w:rPr>
      </w:pPr>
    </w:p>
    <w:p w14:paraId="35B8986F" w14:textId="09540CDE" w:rsidR="00876171" w:rsidRPr="00E132C9" w:rsidRDefault="00876171" w:rsidP="00205671">
      <w:pPr>
        <w:tabs>
          <w:tab w:val="left" w:pos="2592"/>
        </w:tabs>
        <w:spacing w:after="0" w:line="240" w:lineRule="auto"/>
        <w:rPr>
          <w:rFonts w:ascii="Arial" w:eastAsia="Arial" w:hAnsi="Arial" w:cs="Arial"/>
          <w:b/>
          <w:bCs/>
          <w:szCs w:val="20"/>
          <w:lang w:val="en-GB"/>
        </w:rPr>
      </w:pPr>
      <w:proofErr w:type="spellStart"/>
      <w:r w:rsidRPr="00E132C9">
        <w:rPr>
          <w:rFonts w:ascii="Arial" w:hAnsi="Arial" w:cs="Arial"/>
          <w:b/>
          <w:bCs/>
          <w:szCs w:val="20"/>
          <w:lang w:val="en-GB"/>
        </w:rPr>
        <w:t>Fernão</w:t>
      </w:r>
      <w:proofErr w:type="spellEnd"/>
      <w:r w:rsidRPr="00E132C9">
        <w:rPr>
          <w:rFonts w:ascii="Arial" w:hAnsi="Arial" w:cs="Arial"/>
          <w:b/>
          <w:bCs/>
          <w:szCs w:val="20"/>
          <w:lang w:val="en-GB"/>
        </w:rPr>
        <w:t xml:space="preserve"> Silveira </w:t>
      </w:r>
    </w:p>
    <w:p w14:paraId="787E589E" w14:textId="2DA71AF7" w:rsidR="00876171" w:rsidRPr="00E132C9" w:rsidRDefault="00876171" w:rsidP="00205671">
      <w:pPr>
        <w:tabs>
          <w:tab w:val="left" w:pos="2592"/>
        </w:tabs>
        <w:spacing w:after="0" w:line="240" w:lineRule="auto"/>
        <w:rPr>
          <w:rFonts w:ascii="Arial" w:eastAsia="Arial" w:hAnsi="Arial" w:cs="Arial"/>
          <w:szCs w:val="20"/>
          <w:lang w:val="en-GB"/>
        </w:rPr>
      </w:pPr>
      <w:r w:rsidRPr="00E132C9">
        <w:rPr>
          <w:rFonts w:ascii="Arial" w:hAnsi="Arial" w:cs="Arial"/>
          <w:szCs w:val="20"/>
          <w:lang w:val="en-GB"/>
        </w:rPr>
        <w:t>Global Communications / Stellantis</w:t>
      </w:r>
    </w:p>
    <w:p w14:paraId="1884337A" w14:textId="77777777" w:rsidR="00876171" w:rsidRPr="000C4CD2" w:rsidRDefault="00876171" w:rsidP="00205671">
      <w:pPr>
        <w:tabs>
          <w:tab w:val="left" w:pos="2592"/>
        </w:tabs>
        <w:spacing w:after="0" w:line="240" w:lineRule="auto"/>
        <w:rPr>
          <w:rFonts w:ascii="Arial" w:eastAsia="Arial" w:hAnsi="Arial" w:cs="Arial"/>
          <w:szCs w:val="20"/>
          <w:lang w:val="en-GB"/>
        </w:rPr>
      </w:pPr>
      <w:r w:rsidRPr="000C4CD2">
        <w:rPr>
          <w:rFonts w:ascii="Arial" w:hAnsi="Arial" w:cs="Arial"/>
          <w:szCs w:val="20"/>
          <w:lang w:val="en-GB"/>
        </w:rPr>
        <w:t xml:space="preserve">fernao.silveira@stellantis.com </w:t>
      </w:r>
    </w:p>
    <w:p w14:paraId="1F89ABF6" w14:textId="2F3828DB" w:rsidR="00876171" w:rsidRPr="000C4CD2" w:rsidRDefault="00876171" w:rsidP="00205671">
      <w:pPr>
        <w:tabs>
          <w:tab w:val="left" w:pos="2592"/>
        </w:tabs>
        <w:spacing w:after="0" w:line="240" w:lineRule="auto"/>
        <w:rPr>
          <w:rFonts w:ascii="Arial" w:eastAsia="Arial" w:hAnsi="Arial" w:cs="Arial"/>
          <w:szCs w:val="20"/>
          <w:lang w:val="en-GB"/>
        </w:rPr>
      </w:pPr>
      <w:r w:rsidRPr="000C4CD2">
        <w:rPr>
          <w:rFonts w:ascii="Arial" w:hAnsi="Arial" w:cs="Arial"/>
          <w:szCs w:val="20"/>
          <w:lang w:val="en-GB"/>
        </w:rPr>
        <w:t>+31 6 43 25 43 41</w:t>
      </w:r>
    </w:p>
    <w:p w14:paraId="2B9803BB" w14:textId="523C83E2" w:rsidR="00876171" w:rsidRPr="000C4CD2" w:rsidRDefault="00876171" w:rsidP="00205671">
      <w:pPr>
        <w:tabs>
          <w:tab w:val="left" w:pos="2592"/>
        </w:tabs>
        <w:spacing w:after="0" w:line="240" w:lineRule="auto"/>
        <w:rPr>
          <w:rFonts w:ascii="Arial" w:eastAsia="Arial" w:hAnsi="Arial" w:cs="Arial"/>
          <w:szCs w:val="20"/>
          <w:lang w:val="en-GB"/>
        </w:rPr>
      </w:pPr>
    </w:p>
    <w:p w14:paraId="769C4AAB" w14:textId="39769608" w:rsidR="00876171" w:rsidRPr="000C4CD2" w:rsidRDefault="00876171" w:rsidP="00205671">
      <w:pPr>
        <w:tabs>
          <w:tab w:val="left" w:pos="2592"/>
        </w:tabs>
        <w:spacing w:after="0" w:line="240" w:lineRule="auto"/>
        <w:rPr>
          <w:rFonts w:ascii="Arial" w:eastAsia="Arial" w:hAnsi="Arial" w:cs="Arial"/>
          <w:b/>
          <w:bCs/>
          <w:szCs w:val="20"/>
          <w:lang w:val="en-GB"/>
        </w:rPr>
      </w:pPr>
      <w:r w:rsidRPr="000C4CD2">
        <w:rPr>
          <w:rFonts w:ascii="Arial" w:hAnsi="Arial" w:cs="Arial"/>
          <w:b/>
          <w:bCs/>
          <w:szCs w:val="20"/>
          <w:lang w:val="en-GB"/>
        </w:rPr>
        <w:t>Shawn Morgan</w:t>
      </w:r>
    </w:p>
    <w:p w14:paraId="156681C2" w14:textId="79A9D652" w:rsidR="00876171" w:rsidRPr="000C4CD2" w:rsidRDefault="00876171" w:rsidP="00205671">
      <w:pPr>
        <w:tabs>
          <w:tab w:val="left" w:pos="2592"/>
        </w:tabs>
        <w:spacing w:after="0" w:line="240" w:lineRule="auto"/>
        <w:rPr>
          <w:rFonts w:ascii="Arial" w:eastAsia="Arial" w:hAnsi="Arial" w:cs="Arial"/>
          <w:szCs w:val="20"/>
          <w:lang w:val="en-GB"/>
        </w:rPr>
      </w:pPr>
      <w:r w:rsidRPr="000C4CD2">
        <w:rPr>
          <w:rFonts w:ascii="Arial" w:hAnsi="Arial" w:cs="Arial"/>
          <w:szCs w:val="20"/>
          <w:lang w:val="en-GB"/>
        </w:rPr>
        <w:t>North America Communications / Stellantis</w:t>
      </w:r>
    </w:p>
    <w:p w14:paraId="038FFC3B" w14:textId="6AD02A68" w:rsidR="00876171" w:rsidRPr="000C4CD2" w:rsidRDefault="00876171" w:rsidP="00205671">
      <w:pPr>
        <w:tabs>
          <w:tab w:val="left" w:pos="2592"/>
        </w:tabs>
        <w:spacing w:after="0" w:line="240" w:lineRule="auto"/>
        <w:rPr>
          <w:rFonts w:ascii="Arial" w:eastAsia="Arial" w:hAnsi="Arial" w:cs="Arial"/>
          <w:szCs w:val="20"/>
          <w:lang w:val="en-GB"/>
        </w:rPr>
      </w:pPr>
      <w:r w:rsidRPr="000C4CD2">
        <w:rPr>
          <w:rFonts w:ascii="Arial" w:hAnsi="Arial" w:cs="Arial"/>
          <w:szCs w:val="20"/>
          <w:lang w:val="en-GB"/>
        </w:rPr>
        <w:t>shawn.morgan@stellantis.com</w:t>
      </w:r>
    </w:p>
    <w:p w14:paraId="36D9880B" w14:textId="5FEFDF94" w:rsidR="00876171" w:rsidRPr="00E84090" w:rsidRDefault="00876171" w:rsidP="00205671">
      <w:pPr>
        <w:tabs>
          <w:tab w:val="left" w:pos="2592"/>
        </w:tabs>
        <w:spacing w:after="0" w:line="240" w:lineRule="auto"/>
        <w:rPr>
          <w:rFonts w:ascii="Arial" w:eastAsia="Arial" w:hAnsi="Arial" w:cs="Arial"/>
          <w:szCs w:val="20"/>
        </w:rPr>
      </w:pPr>
      <w:r w:rsidRPr="00E84090">
        <w:rPr>
          <w:rFonts w:ascii="Arial" w:hAnsi="Arial" w:cs="Arial"/>
          <w:szCs w:val="20"/>
        </w:rPr>
        <w:t>+1 (248) 760-2621</w:t>
      </w:r>
    </w:p>
    <w:p w14:paraId="69F7E167" w14:textId="77777777" w:rsidR="00876171" w:rsidRPr="00E84090" w:rsidRDefault="00876171" w:rsidP="00205671">
      <w:pPr>
        <w:tabs>
          <w:tab w:val="left" w:pos="2592"/>
        </w:tabs>
        <w:spacing w:after="0" w:line="240" w:lineRule="auto"/>
        <w:rPr>
          <w:rFonts w:ascii="Arial" w:eastAsia="Arial" w:hAnsi="Arial" w:cs="Arial"/>
          <w:szCs w:val="20"/>
        </w:rPr>
      </w:pPr>
    </w:p>
    <w:p w14:paraId="41003F8A" w14:textId="392C37DC" w:rsidR="00E67697" w:rsidRPr="00E84090" w:rsidRDefault="000C4CD2" w:rsidP="000C4CD2">
      <w:pPr>
        <w:widowControl/>
        <w:wordWrap/>
        <w:autoSpaceDE/>
        <w:autoSpaceDN/>
        <w:spacing w:after="160" w:line="259" w:lineRule="auto"/>
        <w:rPr>
          <w:rFonts w:ascii="Arial" w:eastAsia="Arial" w:hAnsi="Arial" w:cs="Arial"/>
          <w:sz w:val="24"/>
          <w:szCs w:val="24"/>
        </w:rPr>
      </w:pPr>
      <w:r w:rsidRPr="00E84090">
        <w:rPr>
          <w:rFonts w:ascii="Arial" w:eastAsia="Arial" w:hAnsi="Arial" w:cs="Arial"/>
          <w:sz w:val="24"/>
          <w:szCs w:val="24"/>
        </w:rPr>
        <w:br w:type="page"/>
      </w:r>
    </w:p>
    <w:p w14:paraId="1A0A2F54" w14:textId="419263B5" w:rsidR="00CB451D" w:rsidRDefault="00CB451D" w:rsidP="00CB451D">
      <w:pPr>
        <w:spacing w:after="0" w:line="240" w:lineRule="auto"/>
        <w:rPr>
          <w:rFonts w:ascii="Arial" w:hAnsi="Arial"/>
          <w:b/>
          <w:bCs/>
          <w:sz w:val="18"/>
          <w:szCs w:val="18"/>
        </w:rPr>
      </w:pPr>
      <w:r w:rsidRPr="00D97790">
        <w:rPr>
          <w:rFonts w:ascii="Arial" w:hAnsi="Arial"/>
          <w:b/>
          <w:bCs/>
          <w:sz w:val="18"/>
          <w:szCs w:val="18"/>
        </w:rPr>
        <w:lastRenderedPageBreak/>
        <w:t>DÉCLARATIONS PROSPECTIVES</w:t>
      </w:r>
    </w:p>
    <w:p w14:paraId="2807E7AE" w14:textId="77777777" w:rsidR="000C4CD2" w:rsidRPr="00D97790" w:rsidRDefault="000C4CD2" w:rsidP="00CB451D">
      <w:pPr>
        <w:spacing w:after="0" w:line="240" w:lineRule="auto"/>
        <w:rPr>
          <w:rFonts w:ascii="Arial" w:hAnsi="Arial"/>
          <w:b/>
          <w:bCs/>
          <w:sz w:val="18"/>
          <w:szCs w:val="18"/>
        </w:rPr>
      </w:pPr>
    </w:p>
    <w:p w14:paraId="2F390894" w14:textId="77777777" w:rsidR="00E132C9" w:rsidRPr="00E132C9" w:rsidRDefault="00E132C9" w:rsidP="00E132C9">
      <w:pPr>
        <w:spacing w:after="0" w:line="240" w:lineRule="auto"/>
        <w:rPr>
          <w:rFonts w:ascii="Arial" w:hAnsi="Arial"/>
          <w:i/>
          <w:sz w:val="18"/>
          <w:szCs w:val="18"/>
        </w:rPr>
      </w:pPr>
      <w:r w:rsidRPr="00E132C9">
        <w:rPr>
          <w:rFonts w:ascii="Arial" w:hAnsi="Arial"/>
          <w:i/>
          <w:iCs/>
          <w:sz w:val="18"/>
          <w:szCs w:val="18"/>
        </w:rPr>
        <w:t xml:space="preserve">Cette communication contient des déclarations prospectives. En particulier, les énoncés concernant les événements futurs et les résultats prévus des opérations, les stratégies d’entreprise, les avantages prévus de la transaction proposée, les résultats financiers et opérationnels futurs, la date de clôture prévue de la transaction proposée et d’autres aspects prévus de nos opérations ou résultats opérationnels sont des énoncés prospectifs. Ces énoncés peuvent comprendre des termes tels que ““ peut “, “ va “, “ s’attend “, “ pourrait “, “ devrait “, “ a l’intention “, “ estime “, “ anticipe “, “ croit “, “ reste “, “ en bonne voie “, “ conception”, “ cible “, “ objectif “, “ but “, “ prévision “, “ projection “, “ perspectives “, “ plan “, ou des termes similaires. Les déclarations prospectives ne sont pas des garanties de rendement futur. Elles sont plutôt fondées sur l’état actuel des connaissances, les attentes futures et les projections concernant les événements futurs de Stellantis et sont par nature sujettes à des risques et à </w:t>
      </w:r>
      <w:proofErr w:type="gramStart"/>
      <w:r w:rsidRPr="00E132C9">
        <w:rPr>
          <w:rFonts w:ascii="Arial" w:hAnsi="Arial"/>
          <w:i/>
          <w:iCs/>
          <w:sz w:val="18"/>
          <w:szCs w:val="18"/>
        </w:rPr>
        <w:t>des incertitudes inhérents</w:t>
      </w:r>
      <w:proofErr w:type="gramEnd"/>
      <w:r w:rsidRPr="00E132C9">
        <w:rPr>
          <w:rFonts w:ascii="Arial" w:hAnsi="Arial"/>
          <w:i/>
          <w:iCs/>
          <w:sz w:val="18"/>
          <w:szCs w:val="18"/>
        </w:rPr>
        <w:t>. Elles se rapportent à des événements et dépendent de circonstances qui pourraient ou non se produire ou exister à l’avenir et, par conséquent, il ne faut pas s’en remettre indûment à eux. </w:t>
      </w:r>
    </w:p>
    <w:p w14:paraId="3A0AD515" w14:textId="77777777" w:rsidR="00E132C9" w:rsidRPr="00E132C9" w:rsidRDefault="00E132C9" w:rsidP="00E132C9">
      <w:pPr>
        <w:spacing w:after="0" w:line="240" w:lineRule="auto"/>
        <w:rPr>
          <w:rFonts w:ascii="Arial" w:hAnsi="Arial"/>
          <w:i/>
          <w:sz w:val="18"/>
          <w:szCs w:val="18"/>
        </w:rPr>
      </w:pPr>
      <w:r w:rsidRPr="00E132C9">
        <w:rPr>
          <w:rFonts w:ascii="Arial" w:hAnsi="Arial"/>
          <w:i/>
          <w:iCs/>
          <w:sz w:val="18"/>
          <w:szCs w:val="18"/>
        </w:rPr>
        <w:t>Les résultats réels peuvent différer sensiblement de ceux exprimés dans les énoncés prospectifs en raison de divers facteurs, notamment : des incertitudes quant à la question de savoir si l’opération envisagée examinée dans le présent document sera achevée ou quant au moment où elle aura lieu; la satisfaction des conditions préalables à la conclusion de la transaction proposée, y compris la possibilité d’obtenir des approbations réglementaires aux conditions prévues, en tout ou en temps voulu; le risque que les entreprises des parties soient lésées pendant la durée de la transaction proposée; la capacité de Stellantis à intégrer avec succès les activités de la société; l’interruption de l’activité après la transaction; l’effet de l’annonce de la transaction sur la capacité de la société à retenir et à embaucher du personnel clé et de maintenir des relations avec les clients, les fournisseurs et les autres partenaires avec lesquels la société exerce ses activités; l’impact de la pandémie COVID-19, la capacité de Stellantis à lancer de nouveaux produits avec succès et à maintenir le volume des expéditions de véhicules; l’évolution des marchés financiers mondiaux, l’environnement économique général et l’évolution de la demande de produits automobiles, qui sont soumis à un cycle conjoncturel; l’évolution de la situation économique et politique locale, l’évolution de la politique commerciale et l’imposition de tarifs ou de tarifs mondiaux et régionaux destinés à l’industrie automobile, l’adoption de réformes fiscales ou d’autres modifications des lois et règlements fiscaux; la capacité de Stellantis’ à élargir certaines de leurs marques à l’échelle mondiale; sa capacité à offrir des produits innovants et attrayants; sa capacité à développer, fabriquer et vendre des véhicules dotés de caractéristiques avancées, notamment une électrification améliorée, une connectivité et des caractéristiques de conduite autonome; divers types de réclamations, de poursuites judiciaires, d’enquêtes gouvernementales et d’autres imprévus, y compris les réclamations relatives à la responsabilité et à la garantie des produits et les réclamations relatives à l’environnement, les enquêtes et les poursuites; les dépenses d’exploitation des matériels en ce qui concerne le respect des règlements en matière d’environnement, de santé et de sécurité; l’intensité de la concurrence dans l’industrie automobile, qui peut augmenter en raison de la consolidation; l’exposition à des insuffisances dans le financement des régimes de retraite à prestations définies de Stellantis; la capacité de fournir ou d’organiser l’accès à un financement adéquat pour les concessionnaires et les clients de détail et les risques associés à la création et aux opérations de sociétés de services financiers; la possibilité d’obtenir des financements pour exécuter les plans d’entreprise  de Stellantis et améliorer ses activités, sa situation financière et ses résultats; un dysfonctionnement, une perturbation ou une atteinte à la sécurité affectant les systèmes de technologie de l’information ou les systèmes de contrôle électronique contenus dans les véhicules de Stellantis; la capacité de Stellantis à exploiter les avantages escomptés des ententes de co-entreprise; les perturbations résultant de l’instabilité politique, sociale et économique; les risques associés à nos relations avec les employés, les concessionnaires et les fournisseurs; l’augmentation des coûts, l’interruption de l’approvisionnement ou la pénurie de matières premières, de pièces, de composants et de systèmes utilisés dans les véhicules de Stellantis; l’évolution des relations du travail et l’évolution du droit du travail applicable; fluctuations des taux de change, variations des taux d’intérêt, risque de crédit et autres risques du marché; troubles politiques et civils; tremblements de terre ou autres catastrophes; et autres risques et incertitudes.</w:t>
      </w:r>
    </w:p>
    <w:p w14:paraId="4C9D4CC3" w14:textId="77777777" w:rsidR="00E132C9" w:rsidRPr="00E132C9" w:rsidRDefault="00E132C9" w:rsidP="00E132C9">
      <w:pPr>
        <w:spacing w:after="0" w:line="240" w:lineRule="auto"/>
        <w:rPr>
          <w:rFonts w:ascii="Arial" w:hAnsi="Arial"/>
          <w:i/>
          <w:sz w:val="18"/>
          <w:szCs w:val="18"/>
        </w:rPr>
      </w:pPr>
      <w:r w:rsidRPr="00E132C9">
        <w:rPr>
          <w:rFonts w:ascii="Arial" w:hAnsi="Arial"/>
          <w:i/>
          <w:iCs/>
          <w:sz w:val="18"/>
          <w:szCs w:val="18"/>
        </w:rPr>
        <w:t>Toutes les déclarations prospectives contenues dans la présente communication ne sont valables qu’à la date du présent document et Stellantis rejette toute obligation de mettre à jour ou de réviser les déclarations prospectives. De plus amples renseignements sur Stellantis et ses entreprises, y compris les facteurs qui pourraient avoir une incidence importante sur les résultats financiers de Stellantis, sont inclus dans les rapports et les dépôts de Stellantis auprès de la Securities and Exchange Commission des États-Unis et AFM.</w:t>
      </w:r>
    </w:p>
    <w:p w14:paraId="75B57BEE" w14:textId="77777777" w:rsidR="00CB451D" w:rsidRPr="00842A27" w:rsidRDefault="00CB451D" w:rsidP="00C21D55">
      <w:pPr>
        <w:spacing w:after="0" w:line="240" w:lineRule="auto"/>
        <w:rPr>
          <w:rFonts w:ascii="Arial" w:hAnsi="Arial" w:cs="Arial"/>
          <w:sz w:val="24"/>
          <w:szCs w:val="24"/>
        </w:rPr>
      </w:pPr>
    </w:p>
    <w:sectPr w:rsidR="00CB451D" w:rsidRPr="00842A27" w:rsidSect="00F52E6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41A8E" w14:textId="77777777" w:rsidR="00B421FF" w:rsidRDefault="00B421FF" w:rsidP="005C18FB">
      <w:pPr>
        <w:spacing w:after="0" w:line="240" w:lineRule="auto"/>
      </w:pPr>
      <w:r>
        <w:separator/>
      </w:r>
    </w:p>
  </w:endnote>
  <w:endnote w:type="continuationSeparator" w:id="0">
    <w:p w14:paraId="6B0DBFDF" w14:textId="77777777" w:rsidR="00B421FF" w:rsidRDefault="00B421FF" w:rsidP="005C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960D" w14:textId="77777777" w:rsidR="009C005C" w:rsidRDefault="009C0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1E8C" w14:textId="77777777" w:rsidR="009C005C" w:rsidRDefault="009C0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B05C" w14:textId="77777777" w:rsidR="009C005C" w:rsidRDefault="009C0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56C30" w14:textId="77777777" w:rsidR="00B421FF" w:rsidRDefault="00B421FF" w:rsidP="005C18FB">
      <w:pPr>
        <w:spacing w:after="0" w:line="240" w:lineRule="auto"/>
      </w:pPr>
      <w:r>
        <w:separator/>
      </w:r>
    </w:p>
  </w:footnote>
  <w:footnote w:type="continuationSeparator" w:id="0">
    <w:p w14:paraId="4CF75765" w14:textId="77777777" w:rsidR="00B421FF" w:rsidRDefault="00B421FF" w:rsidP="005C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4DEA3" w14:textId="77777777" w:rsidR="009C005C" w:rsidRDefault="009C0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AE75" w14:textId="4514868B" w:rsidR="00B728D6" w:rsidRDefault="00B728D6" w:rsidP="00CE4A27">
    <w:pPr>
      <w:pStyle w:val="Header"/>
      <w:tabs>
        <w:tab w:val="clear" w:pos="4513"/>
        <w:tab w:val="center" w:pos="2880"/>
        <w:tab w:val="center" w:pos="6480"/>
      </w:tabs>
      <w:jc w:val="left"/>
    </w:pPr>
    <w:r>
      <w:rPr>
        <w:noProof/>
        <w:lang w:val="en-US" w:eastAsia="en-US"/>
      </w:rPr>
      <w:drawing>
        <wp:inline distT="0" distB="0" distL="0" distR="0" wp14:anchorId="23E463A8" wp14:editId="0BCFE1DA">
          <wp:extent cx="1811663" cy="4652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920" cy="477909"/>
                  </a:xfrm>
                  <a:prstGeom prst="rect">
                    <a:avLst/>
                  </a:prstGeom>
                </pic:spPr>
              </pic:pic>
            </a:graphicData>
          </a:graphic>
        </wp:inline>
      </w:drawing>
    </w:r>
    <w:r>
      <w:tab/>
      <w:t xml:space="preserve">                                </w:t>
    </w:r>
    <w:r>
      <w:rPr>
        <w:noProof/>
        <w:lang w:val="en-US" w:eastAsia="en-US"/>
      </w:rPr>
      <w:drawing>
        <wp:inline distT="0" distB="0" distL="0" distR="0" wp14:anchorId="6CEADD60" wp14:editId="1D795407">
          <wp:extent cx="1856739" cy="469900"/>
          <wp:effectExtent l="0" t="0" r="0" b="635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t="-6261" b="-9734"/>
                  <a:stretch/>
                </pic:blipFill>
                <pic:spPr bwMode="auto">
                  <a:xfrm>
                    <a:off x="0" y="0"/>
                    <a:ext cx="2108526" cy="533622"/>
                  </a:xfrm>
                  <a:prstGeom prst="rect">
                    <a:avLst/>
                  </a:prstGeom>
                  <a:ln>
                    <a:noFill/>
                  </a:ln>
                  <a:extLst>
                    <a:ext uri="{53640926-AAD7-44D8-BBD7-CCE9431645EC}">
                      <a14:shadowObscured xmlns:a14="http://schemas.microsoft.com/office/drawing/2010/main"/>
                    </a:ext>
                  </a:extLst>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0F38" w14:textId="77777777" w:rsidR="009C005C" w:rsidRDefault="009C0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61486"/>
    <w:multiLevelType w:val="multilevel"/>
    <w:tmpl w:val="24D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FB"/>
    <w:rsid w:val="0000501C"/>
    <w:rsid w:val="00014A18"/>
    <w:rsid w:val="00020153"/>
    <w:rsid w:val="0002062D"/>
    <w:rsid w:val="00030215"/>
    <w:rsid w:val="00030559"/>
    <w:rsid w:val="000449B7"/>
    <w:rsid w:val="000462B9"/>
    <w:rsid w:val="000475E6"/>
    <w:rsid w:val="000503DD"/>
    <w:rsid w:val="000509BD"/>
    <w:rsid w:val="00060B4C"/>
    <w:rsid w:val="00064B63"/>
    <w:rsid w:val="000720AB"/>
    <w:rsid w:val="0007479D"/>
    <w:rsid w:val="00083FEF"/>
    <w:rsid w:val="00085B8B"/>
    <w:rsid w:val="000903BB"/>
    <w:rsid w:val="00091B76"/>
    <w:rsid w:val="000A2638"/>
    <w:rsid w:val="000A58CB"/>
    <w:rsid w:val="000A771D"/>
    <w:rsid w:val="000B00F5"/>
    <w:rsid w:val="000C0A30"/>
    <w:rsid w:val="000C3DE7"/>
    <w:rsid w:val="000C4CD2"/>
    <w:rsid w:val="000D0398"/>
    <w:rsid w:val="000F2BE2"/>
    <w:rsid w:val="000F7DB5"/>
    <w:rsid w:val="000F7FF9"/>
    <w:rsid w:val="001235C3"/>
    <w:rsid w:val="00137F00"/>
    <w:rsid w:val="00153E3B"/>
    <w:rsid w:val="00167725"/>
    <w:rsid w:val="00167900"/>
    <w:rsid w:val="00194CA4"/>
    <w:rsid w:val="00196042"/>
    <w:rsid w:val="001A5A97"/>
    <w:rsid w:val="001A75F0"/>
    <w:rsid w:val="001C0C01"/>
    <w:rsid w:val="001C19AA"/>
    <w:rsid w:val="001C71FF"/>
    <w:rsid w:val="001D2439"/>
    <w:rsid w:val="001E3744"/>
    <w:rsid w:val="001E5108"/>
    <w:rsid w:val="001E7F73"/>
    <w:rsid w:val="001F18B7"/>
    <w:rsid w:val="001F2D9D"/>
    <w:rsid w:val="00205671"/>
    <w:rsid w:val="00211300"/>
    <w:rsid w:val="00242AD7"/>
    <w:rsid w:val="00245CE1"/>
    <w:rsid w:val="00256312"/>
    <w:rsid w:val="002639D5"/>
    <w:rsid w:val="002658B8"/>
    <w:rsid w:val="00280E58"/>
    <w:rsid w:val="002902FF"/>
    <w:rsid w:val="002A1C05"/>
    <w:rsid w:val="002A3216"/>
    <w:rsid w:val="002B05E2"/>
    <w:rsid w:val="002B33FC"/>
    <w:rsid w:val="002B6AB2"/>
    <w:rsid w:val="002B7691"/>
    <w:rsid w:val="002C1C43"/>
    <w:rsid w:val="002E5974"/>
    <w:rsid w:val="002F09FE"/>
    <w:rsid w:val="00306B6A"/>
    <w:rsid w:val="003176FE"/>
    <w:rsid w:val="00320693"/>
    <w:rsid w:val="00341C78"/>
    <w:rsid w:val="00342911"/>
    <w:rsid w:val="00343AB6"/>
    <w:rsid w:val="00345294"/>
    <w:rsid w:val="00346049"/>
    <w:rsid w:val="00353C10"/>
    <w:rsid w:val="003628BB"/>
    <w:rsid w:val="00370FBE"/>
    <w:rsid w:val="00377454"/>
    <w:rsid w:val="003939D4"/>
    <w:rsid w:val="00394F96"/>
    <w:rsid w:val="003963F6"/>
    <w:rsid w:val="003A2A94"/>
    <w:rsid w:val="003A453F"/>
    <w:rsid w:val="003A5943"/>
    <w:rsid w:val="003A5ED9"/>
    <w:rsid w:val="003B6025"/>
    <w:rsid w:val="003B6D8A"/>
    <w:rsid w:val="003C2B71"/>
    <w:rsid w:val="003D7213"/>
    <w:rsid w:val="003E0D73"/>
    <w:rsid w:val="003E712E"/>
    <w:rsid w:val="003F03F9"/>
    <w:rsid w:val="003F5D02"/>
    <w:rsid w:val="0040099D"/>
    <w:rsid w:val="0040282E"/>
    <w:rsid w:val="0040686A"/>
    <w:rsid w:val="00422989"/>
    <w:rsid w:val="00430FF5"/>
    <w:rsid w:val="004348F9"/>
    <w:rsid w:val="00437ED4"/>
    <w:rsid w:val="0044575C"/>
    <w:rsid w:val="00445EFD"/>
    <w:rsid w:val="00450D04"/>
    <w:rsid w:val="00450F5B"/>
    <w:rsid w:val="00457EA7"/>
    <w:rsid w:val="004617FC"/>
    <w:rsid w:val="004653CC"/>
    <w:rsid w:val="00482454"/>
    <w:rsid w:val="00483F97"/>
    <w:rsid w:val="00487036"/>
    <w:rsid w:val="00496B07"/>
    <w:rsid w:val="004B25B8"/>
    <w:rsid w:val="004B4DA8"/>
    <w:rsid w:val="004C2B9E"/>
    <w:rsid w:val="004C2DFB"/>
    <w:rsid w:val="004C3674"/>
    <w:rsid w:val="004D2215"/>
    <w:rsid w:val="004F2068"/>
    <w:rsid w:val="004F45A7"/>
    <w:rsid w:val="004F525E"/>
    <w:rsid w:val="00504954"/>
    <w:rsid w:val="00510EB6"/>
    <w:rsid w:val="00517109"/>
    <w:rsid w:val="00531FE6"/>
    <w:rsid w:val="005336A5"/>
    <w:rsid w:val="005362A7"/>
    <w:rsid w:val="00556DFE"/>
    <w:rsid w:val="00560EB2"/>
    <w:rsid w:val="005630F6"/>
    <w:rsid w:val="00572BE6"/>
    <w:rsid w:val="00573799"/>
    <w:rsid w:val="00584DA4"/>
    <w:rsid w:val="00586749"/>
    <w:rsid w:val="00591AC3"/>
    <w:rsid w:val="00591E94"/>
    <w:rsid w:val="005962E0"/>
    <w:rsid w:val="005A46A2"/>
    <w:rsid w:val="005A49A6"/>
    <w:rsid w:val="005B4C52"/>
    <w:rsid w:val="005B7CCF"/>
    <w:rsid w:val="005C18FB"/>
    <w:rsid w:val="005C22E7"/>
    <w:rsid w:val="005C636E"/>
    <w:rsid w:val="005D28B8"/>
    <w:rsid w:val="005D29FA"/>
    <w:rsid w:val="005D3BE9"/>
    <w:rsid w:val="005E32F9"/>
    <w:rsid w:val="00603406"/>
    <w:rsid w:val="006061F0"/>
    <w:rsid w:val="00607381"/>
    <w:rsid w:val="00621455"/>
    <w:rsid w:val="00621CD4"/>
    <w:rsid w:val="00633B1A"/>
    <w:rsid w:val="006376ED"/>
    <w:rsid w:val="006400E9"/>
    <w:rsid w:val="00644521"/>
    <w:rsid w:val="00652E31"/>
    <w:rsid w:val="00664CBA"/>
    <w:rsid w:val="0069438E"/>
    <w:rsid w:val="006A1ED6"/>
    <w:rsid w:val="006A5724"/>
    <w:rsid w:val="006C719D"/>
    <w:rsid w:val="006D34B2"/>
    <w:rsid w:val="006D5382"/>
    <w:rsid w:val="006E5A66"/>
    <w:rsid w:val="006E711F"/>
    <w:rsid w:val="006F5B29"/>
    <w:rsid w:val="006F6C3B"/>
    <w:rsid w:val="00706635"/>
    <w:rsid w:val="00710B32"/>
    <w:rsid w:val="0071733B"/>
    <w:rsid w:val="0072262B"/>
    <w:rsid w:val="0075149D"/>
    <w:rsid w:val="00757802"/>
    <w:rsid w:val="00762A41"/>
    <w:rsid w:val="007662EE"/>
    <w:rsid w:val="00774734"/>
    <w:rsid w:val="00776C91"/>
    <w:rsid w:val="007820FE"/>
    <w:rsid w:val="007906FF"/>
    <w:rsid w:val="00792FC4"/>
    <w:rsid w:val="007A2713"/>
    <w:rsid w:val="007A3EBA"/>
    <w:rsid w:val="007A6943"/>
    <w:rsid w:val="007B2A6E"/>
    <w:rsid w:val="007D2F7F"/>
    <w:rsid w:val="007D7C03"/>
    <w:rsid w:val="007F6079"/>
    <w:rsid w:val="007F6591"/>
    <w:rsid w:val="0082685E"/>
    <w:rsid w:val="00830308"/>
    <w:rsid w:val="00832B0A"/>
    <w:rsid w:val="00833ECA"/>
    <w:rsid w:val="00836DE7"/>
    <w:rsid w:val="00842A27"/>
    <w:rsid w:val="00865397"/>
    <w:rsid w:val="00876171"/>
    <w:rsid w:val="0088493C"/>
    <w:rsid w:val="0089004C"/>
    <w:rsid w:val="008913B0"/>
    <w:rsid w:val="00891905"/>
    <w:rsid w:val="00891A55"/>
    <w:rsid w:val="00894703"/>
    <w:rsid w:val="00897EB8"/>
    <w:rsid w:val="008A10A3"/>
    <w:rsid w:val="008B1463"/>
    <w:rsid w:val="008D0903"/>
    <w:rsid w:val="008D26FB"/>
    <w:rsid w:val="008E0ED6"/>
    <w:rsid w:val="00901975"/>
    <w:rsid w:val="00915F37"/>
    <w:rsid w:val="00921407"/>
    <w:rsid w:val="0092262A"/>
    <w:rsid w:val="009403BA"/>
    <w:rsid w:val="00965494"/>
    <w:rsid w:val="00992449"/>
    <w:rsid w:val="009B1488"/>
    <w:rsid w:val="009B45A3"/>
    <w:rsid w:val="009C005C"/>
    <w:rsid w:val="009C3C7C"/>
    <w:rsid w:val="009C6033"/>
    <w:rsid w:val="009C61CF"/>
    <w:rsid w:val="009C68EC"/>
    <w:rsid w:val="00A00997"/>
    <w:rsid w:val="00A01131"/>
    <w:rsid w:val="00A03072"/>
    <w:rsid w:val="00A16089"/>
    <w:rsid w:val="00A17B59"/>
    <w:rsid w:val="00A336D5"/>
    <w:rsid w:val="00A347A1"/>
    <w:rsid w:val="00A36955"/>
    <w:rsid w:val="00A46D29"/>
    <w:rsid w:val="00A56AC6"/>
    <w:rsid w:val="00A63FCA"/>
    <w:rsid w:val="00A66320"/>
    <w:rsid w:val="00A71937"/>
    <w:rsid w:val="00A76972"/>
    <w:rsid w:val="00A91D78"/>
    <w:rsid w:val="00A977C7"/>
    <w:rsid w:val="00AA0A8E"/>
    <w:rsid w:val="00AA10F9"/>
    <w:rsid w:val="00AA3778"/>
    <w:rsid w:val="00AA6E3B"/>
    <w:rsid w:val="00AB2E64"/>
    <w:rsid w:val="00AC5747"/>
    <w:rsid w:val="00AC60BD"/>
    <w:rsid w:val="00AC709F"/>
    <w:rsid w:val="00AD29E4"/>
    <w:rsid w:val="00AE2258"/>
    <w:rsid w:val="00AF22B9"/>
    <w:rsid w:val="00AF60D8"/>
    <w:rsid w:val="00B118EC"/>
    <w:rsid w:val="00B22BA2"/>
    <w:rsid w:val="00B24726"/>
    <w:rsid w:val="00B421FF"/>
    <w:rsid w:val="00B4680B"/>
    <w:rsid w:val="00B54215"/>
    <w:rsid w:val="00B64A28"/>
    <w:rsid w:val="00B67462"/>
    <w:rsid w:val="00B728D6"/>
    <w:rsid w:val="00B7361F"/>
    <w:rsid w:val="00B74B22"/>
    <w:rsid w:val="00B80E1F"/>
    <w:rsid w:val="00B84C81"/>
    <w:rsid w:val="00BA56F2"/>
    <w:rsid w:val="00BB48D4"/>
    <w:rsid w:val="00BB4D48"/>
    <w:rsid w:val="00BD6BE3"/>
    <w:rsid w:val="00BD7339"/>
    <w:rsid w:val="00BE1A93"/>
    <w:rsid w:val="00C12666"/>
    <w:rsid w:val="00C15AD0"/>
    <w:rsid w:val="00C21D55"/>
    <w:rsid w:val="00C54891"/>
    <w:rsid w:val="00C60404"/>
    <w:rsid w:val="00C61A4B"/>
    <w:rsid w:val="00C628B0"/>
    <w:rsid w:val="00C635BA"/>
    <w:rsid w:val="00C83930"/>
    <w:rsid w:val="00C9029D"/>
    <w:rsid w:val="00CA1CB5"/>
    <w:rsid w:val="00CA3432"/>
    <w:rsid w:val="00CB451D"/>
    <w:rsid w:val="00CD3D45"/>
    <w:rsid w:val="00CE4A27"/>
    <w:rsid w:val="00CE6AA6"/>
    <w:rsid w:val="00CE7CAA"/>
    <w:rsid w:val="00D0578F"/>
    <w:rsid w:val="00D548A6"/>
    <w:rsid w:val="00D555C4"/>
    <w:rsid w:val="00D6308A"/>
    <w:rsid w:val="00D74CC8"/>
    <w:rsid w:val="00D74DE2"/>
    <w:rsid w:val="00D8190D"/>
    <w:rsid w:val="00D90601"/>
    <w:rsid w:val="00D9100E"/>
    <w:rsid w:val="00D92195"/>
    <w:rsid w:val="00D97790"/>
    <w:rsid w:val="00DA5BCC"/>
    <w:rsid w:val="00DA7C0F"/>
    <w:rsid w:val="00DB3ECD"/>
    <w:rsid w:val="00DC0A0B"/>
    <w:rsid w:val="00DC59C6"/>
    <w:rsid w:val="00DE142F"/>
    <w:rsid w:val="00DE708B"/>
    <w:rsid w:val="00E011FE"/>
    <w:rsid w:val="00E02D79"/>
    <w:rsid w:val="00E07170"/>
    <w:rsid w:val="00E10F98"/>
    <w:rsid w:val="00E132C9"/>
    <w:rsid w:val="00E136FF"/>
    <w:rsid w:val="00E319D0"/>
    <w:rsid w:val="00E509C1"/>
    <w:rsid w:val="00E66A11"/>
    <w:rsid w:val="00E67697"/>
    <w:rsid w:val="00E712B3"/>
    <w:rsid w:val="00E75223"/>
    <w:rsid w:val="00E84090"/>
    <w:rsid w:val="00EA242F"/>
    <w:rsid w:val="00EA7D05"/>
    <w:rsid w:val="00EA7F09"/>
    <w:rsid w:val="00EB1C1B"/>
    <w:rsid w:val="00EC175F"/>
    <w:rsid w:val="00EC3EDA"/>
    <w:rsid w:val="00EC493C"/>
    <w:rsid w:val="00ED0953"/>
    <w:rsid w:val="00ED6DCE"/>
    <w:rsid w:val="00EE7CB8"/>
    <w:rsid w:val="00EF62C4"/>
    <w:rsid w:val="00F0146E"/>
    <w:rsid w:val="00F079A3"/>
    <w:rsid w:val="00F15B04"/>
    <w:rsid w:val="00F211E4"/>
    <w:rsid w:val="00F330A8"/>
    <w:rsid w:val="00F36D64"/>
    <w:rsid w:val="00F460EF"/>
    <w:rsid w:val="00F475E5"/>
    <w:rsid w:val="00F52E65"/>
    <w:rsid w:val="00F61CFB"/>
    <w:rsid w:val="00F64CE2"/>
    <w:rsid w:val="00F75034"/>
    <w:rsid w:val="00F83266"/>
    <w:rsid w:val="00F845C8"/>
    <w:rsid w:val="00F917C1"/>
    <w:rsid w:val="00F96DE7"/>
    <w:rsid w:val="00F97EDB"/>
    <w:rsid w:val="00FA5481"/>
    <w:rsid w:val="00FA6852"/>
    <w:rsid w:val="00FB24A4"/>
    <w:rsid w:val="00FD3163"/>
    <w:rsid w:val="00FD72F0"/>
    <w:rsid w:val="00FE2BEC"/>
    <w:rsid w:val="00FE583B"/>
    <w:rsid w:val="00FE5C28"/>
    <w:rsid w:val="00FF3DFD"/>
    <w:rsid w:val="00FF41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4D8B6"/>
  <w15:chartTrackingRefBased/>
  <w15:docId w15:val="{60073FC7-032F-4215-BB24-DE6073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fr-FR"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FB"/>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FB"/>
    <w:pPr>
      <w:tabs>
        <w:tab w:val="center" w:pos="4513"/>
        <w:tab w:val="right" w:pos="9026"/>
      </w:tabs>
      <w:snapToGrid w:val="0"/>
    </w:pPr>
  </w:style>
  <w:style w:type="character" w:customStyle="1" w:styleId="HeaderChar">
    <w:name w:val="Header Char"/>
    <w:basedOn w:val="DefaultParagraphFont"/>
    <w:link w:val="Header"/>
    <w:uiPriority w:val="99"/>
    <w:rsid w:val="005C18FB"/>
  </w:style>
  <w:style w:type="paragraph" w:styleId="Footer">
    <w:name w:val="footer"/>
    <w:basedOn w:val="Normal"/>
    <w:link w:val="FooterChar"/>
    <w:uiPriority w:val="99"/>
    <w:unhideWhenUsed/>
    <w:rsid w:val="005C18FB"/>
    <w:pPr>
      <w:tabs>
        <w:tab w:val="center" w:pos="4513"/>
        <w:tab w:val="right" w:pos="9026"/>
      </w:tabs>
      <w:snapToGrid w:val="0"/>
    </w:pPr>
  </w:style>
  <w:style w:type="character" w:customStyle="1" w:styleId="FooterChar">
    <w:name w:val="Footer Char"/>
    <w:basedOn w:val="DefaultParagraphFont"/>
    <w:link w:val="Footer"/>
    <w:uiPriority w:val="99"/>
    <w:rsid w:val="005C18FB"/>
  </w:style>
  <w:style w:type="character" w:styleId="Hyperlink">
    <w:name w:val="Hyperlink"/>
    <w:uiPriority w:val="99"/>
    <w:rsid w:val="00C21D55"/>
    <w:rPr>
      <w:color w:val="0000FF"/>
      <w:u w:val="single"/>
    </w:rPr>
  </w:style>
  <w:style w:type="paragraph" w:styleId="BalloonText">
    <w:name w:val="Balloon Text"/>
    <w:basedOn w:val="Normal"/>
    <w:link w:val="BalloonTextChar"/>
    <w:uiPriority w:val="99"/>
    <w:semiHidden/>
    <w:unhideWhenUsed/>
    <w:rsid w:val="00496B0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6B0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05671"/>
    <w:rPr>
      <w:sz w:val="16"/>
      <w:szCs w:val="16"/>
    </w:rPr>
  </w:style>
  <w:style w:type="paragraph" w:styleId="CommentText">
    <w:name w:val="annotation text"/>
    <w:basedOn w:val="Normal"/>
    <w:link w:val="CommentTextChar"/>
    <w:uiPriority w:val="99"/>
    <w:semiHidden/>
    <w:unhideWhenUsed/>
    <w:rsid w:val="00205671"/>
    <w:pPr>
      <w:spacing w:line="240" w:lineRule="auto"/>
    </w:pPr>
    <w:rPr>
      <w:szCs w:val="20"/>
    </w:rPr>
  </w:style>
  <w:style w:type="character" w:customStyle="1" w:styleId="CommentTextChar">
    <w:name w:val="Comment Text Char"/>
    <w:basedOn w:val="DefaultParagraphFont"/>
    <w:link w:val="CommentText"/>
    <w:uiPriority w:val="99"/>
    <w:semiHidden/>
    <w:rsid w:val="00205671"/>
    <w:rPr>
      <w:szCs w:val="20"/>
    </w:rPr>
  </w:style>
  <w:style w:type="character" w:customStyle="1" w:styleId="im">
    <w:name w:val="im"/>
    <w:basedOn w:val="DefaultParagraphFont"/>
    <w:rsid w:val="00EE7CB8"/>
  </w:style>
  <w:style w:type="paragraph" w:styleId="NoSpacing">
    <w:name w:val="No Spacing"/>
    <w:uiPriority w:val="1"/>
    <w:qFormat/>
    <w:rsid w:val="005D28B8"/>
    <w:pPr>
      <w:spacing w:after="0" w:line="240" w:lineRule="auto"/>
      <w:jc w:val="left"/>
    </w:pPr>
    <w:rPr>
      <w:rFonts w:eastAsia="Batang"/>
      <w:kern w:val="0"/>
      <w:sz w:val="22"/>
      <w:lang w:eastAsia="en-US"/>
    </w:rPr>
  </w:style>
  <w:style w:type="character" w:customStyle="1" w:styleId="UnresolvedMention1">
    <w:name w:val="Unresolved Mention1"/>
    <w:basedOn w:val="DefaultParagraphFont"/>
    <w:uiPriority w:val="99"/>
    <w:semiHidden/>
    <w:unhideWhenUsed/>
    <w:rsid w:val="00876171"/>
    <w:rPr>
      <w:color w:val="605E5C"/>
      <w:shd w:val="clear" w:color="auto" w:fill="E1DFDD"/>
    </w:rPr>
  </w:style>
  <w:style w:type="paragraph" w:customStyle="1" w:styleId="SDatePlace">
    <w:name w:val="S_Date + Place"/>
    <w:basedOn w:val="Normal"/>
    <w:qFormat/>
    <w:rsid w:val="00876171"/>
    <w:pPr>
      <w:widowControl/>
      <w:wordWrap/>
      <w:autoSpaceDE/>
      <w:autoSpaceDN/>
      <w:spacing w:after="240" w:line="240" w:lineRule="auto"/>
      <w:jc w:val="left"/>
    </w:pPr>
    <w:rPr>
      <w:rFonts w:eastAsiaTheme="minorHAnsi"/>
      <w:kern w:val="0"/>
      <w:sz w:val="24"/>
      <w:szCs w:val="18"/>
      <w:lang w:eastAsia="en-US"/>
    </w:rPr>
  </w:style>
  <w:style w:type="paragraph" w:styleId="CommentSubject">
    <w:name w:val="annotation subject"/>
    <w:basedOn w:val="CommentText"/>
    <w:next w:val="CommentText"/>
    <w:link w:val="CommentSubjectChar"/>
    <w:uiPriority w:val="99"/>
    <w:semiHidden/>
    <w:unhideWhenUsed/>
    <w:rsid w:val="00876171"/>
    <w:rPr>
      <w:b/>
      <w:bCs/>
    </w:rPr>
  </w:style>
  <w:style w:type="character" w:customStyle="1" w:styleId="CommentSubjectChar">
    <w:name w:val="Comment Subject Char"/>
    <w:basedOn w:val="CommentTextChar"/>
    <w:link w:val="CommentSubject"/>
    <w:uiPriority w:val="99"/>
    <w:semiHidden/>
    <w:rsid w:val="00876171"/>
    <w:rPr>
      <w:b/>
      <w:bCs/>
      <w:szCs w:val="20"/>
    </w:rPr>
  </w:style>
  <w:style w:type="paragraph" w:styleId="Revision">
    <w:name w:val="Revision"/>
    <w:hidden/>
    <w:uiPriority w:val="99"/>
    <w:semiHidden/>
    <w:rsid w:val="002639D5"/>
    <w:pPr>
      <w:spacing w:after="0" w:line="240" w:lineRule="auto"/>
      <w:jc w:val="left"/>
    </w:pPr>
  </w:style>
  <w:style w:type="paragraph" w:styleId="NormalWeb">
    <w:name w:val="Normal (Web)"/>
    <w:basedOn w:val="Normal"/>
    <w:uiPriority w:val="99"/>
    <w:unhideWhenUsed/>
    <w:rsid w:val="00891A55"/>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US"/>
    </w:rPr>
  </w:style>
  <w:style w:type="character" w:styleId="UnresolvedMention">
    <w:name w:val="Unresolved Mention"/>
    <w:basedOn w:val="DefaultParagraphFont"/>
    <w:uiPriority w:val="99"/>
    <w:semiHidden/>
    <w:unhideWhenUsed/>
    <w:rsid w:val="00CB4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46143">
      <w:bodyDiv w:val="1"/>
      <w:marLeft w:val="0"/>
      <w:marRight w:val="0"/>
      <w:marTop w:val="0"/>
      <w:marBottom w:val="0"/>
      <w:divBdr>
        <w:top w:val="none" w:sz="0" w:space="0" w:color="auto"/>
        <w:left w:val="none" w:sz="0" w:space="0" w:color="auto"/>
        <w:bottom w:val="none" w:sz="0" w:space="0" w:color="auto"/>
        <w:right w:val="none" w:sz="0" w:space="0" w:color="auto"/>
      </w:divBdr>
    </w:div>
    <w:div w:id="21204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ensol.com/en/inde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tellantis.com/fr" TargetMode="External"/><Relationship Id="rId12" Type="http://schemas.openxmlformats.org/officeDocument/2006/relationships/hyperlink" Target="mailto:ashin0@lgenso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genso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T0900KC\Downloads\www.stellantis.com\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ellantis.com/fr/finance/evenements/strategic-pla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2151</Words>
  <Characters>12265</Characters>
  <Application>Microsoft Office Word</Application>
  <DocSecurity>0</DocSecurity>
  <Lines>102</Lines>
  <Paragraphs>28</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신세민/ashin0/커뮤니케이션팀</dc:creator>
  <cp:keywords/>
  <dc:description/>
  <cp:lastModifiedBy>PAUL CRAIG JOHNSTON</cp:lastModifiedBy>
  <cp:revision>4</cp:revision>
  <cp:lastPrinted>2022-03-21T07:16:00Z</cp:lastPrinted>
  <dcterms:created xsi:type="dcterms:W3CDTF">2022-03-23T14:40:00Z</dcterms:created>
  <dcterms:modified xsi:type="dcterms:W3CDTF">2022-03-23T17:54:00Z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2021-10-17T18:30:39Z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7900b0f0-e207-4a2f-8df1-2e585a645f92</vt:lpwstr>
  </property>
  <property fmtid="{D5CDD505-2E9C-101B-9397-08002B2CF9AE}" pid="8" name="MSIP_Label_2fd53d93-3f4c-4b90-b511-bd6bdbb4fba9_ContentBits">
    <vt:lpwstr>0</vt:lpwstr>
  </property>
</Properties>
</file>