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D9EEC" w14:textId="6CC22E79" w:rsidR="00595FF8" w:rsidRPr="00595FF8" w:rsidRDefault="0086416D" w:rsidP="00766090">
      <w:pPr>
        <w:pStyle w:val="SSubjectBlock"/>
        <w:spacing w:before="1440"/>
        <w:rPr>
          <w:rStyle w:val="normaltextrun"/>
        </w:rPr>
      </w:pPr>
      <w:r>
        <mc:AlternateContent>
          <mc:Choice Requires="wps">
            <w:drawing>
              <wp:anchor distT="0" distB="0" distL="114300" distR="114300" simplePos="0" relativeHeight="251658240" behindDoc="0" locked="1" layoutInCell="1" allowOverlap="0" wp14:anchorId="26212095" wp14:editId="5FEBBA2F">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58F5C7E">
              <v:shape id="Freeform 27"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spid="_x0000_s1026" o:allowoverlap="f"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" w14:anchorId="3A05D17F">
                <v:path arrowok="t" o:connecttype="custom" o:connectlocs="399417,64008;0,64008;32779,0;429768,0;399417,64008" o:connectangles="0,0,0,0,0"/>
                <w10:wrap anchory="page"/>
                <w10:anchorlock/>
              </v:shape>
            </w:pict>
          </mc:Fallback>
        </mc:AlternateContent>
      </w:r>
      <w:r>
        <w:t xml:space="preserve">La transformation en action : le pôle industriel français Trémery-Metz soutient </w:t>
      </w:r>
      <w:r w:rsidR="00AC180D">
        <w:t xml:space="preserve">l’électrification des véhicules </w:t>
      </w:r>
      <w:r>
        <w:t>de Stellantis</w:t>
      </w:r>
    </w:p>
    <w:p w14:paraId="180D53FE" w14:textId="091AF6E0" w:rsidR="00AC180D" w:rsidRPr="00962D51" w:rsidRDefault="00330B5A">
      <w:pPr>
        <w:pStyle w:val="SBullet"/>
        <w:rPr>
          <w:rStyle w:val="normaltextrun"/>
          <w:rFonts w:ascii="Encode Sans ExpandedSemiBold" w:hAnsi="Encode Sans ExpandedSemiBold"/>
        </w:rPr>
      </w:pPr>
      <w:r w:rsidRPr="4C6A9C54">
        <w:rPr>
          <w:rStyle w:val="normaltextrun"/>
          <w:rFonts w:ascii="Encode Sans ExpandedSemiBold" w:hAnsi="Encode Sans ExpandedSemiBold"/>
        </w:rPr>
        <w:t>P</w:t>
      </w:r>
      <w:r w:rsidR="00AC180D" w:rsidRPr="4C6A9C54">
        <w:rPr>
          <w:rStyle w:val="normaltextrun"/>
          <w:rFonts w:ascii="Encode Sans ExpandedSemiBold" w:hAnsi="Encode Sans ExpandedSemiBold"/>
        </w:rPr>
        <w:t>lus de 2 milliards d</w:t>
      </w:r>
      <w:r w:rsidR="0061797E">
        <w:rPr>
          <w:rStyle w:val="normaltextrun"/>
          <w:rFonts w:ascii="Encode Sans ExpandedSemiBold" w:hAnsi="Encode Sans ExpandedSemiBold"/>
        </w:rPr>
        <w:t>’</w:t>
      </w:r>
      <w:r w:rsidR="00AC180D" w:rsidRPr="4C6A9C54">
        <w:rPr>
          <w:rStyle w:val="normaltextrun"/>
          <w:rFonts w:ascii="Encode Sans ExpandedSemiBold" w:hAnsi="Encode Sans ExpandedSemiBold"/>
        </w:rPr>
        <w:t xml:space="preserve">euros </w:t>
      </w:r>
      <w:r w:rsidRPr="4C6A9C54">
        <w:rPr>
          <w:rStyle w:val="normaltextrun"/>
          <w:rFonts w:ascii="Encode Sans ExpandedSemiBold" w:hAnsi="Encode Sans ExpandedSemiBold"/>
        </w:rPr>
        <w:t xml:space="preserve">ont été investis </w:t>
      </w:r>
      <w:r w:rsidR="00AC180D" w:rsidRPr="4C6A9C54">
        <w:rPr>
          <w:rStyle w:val="normaltextrun"/>
          <w:rFonts w:ascii="Encode Sans ExpandedSemiBold" w:hAnsi="Encode Sans ExpandedSemiBold"/>
        </w:rPr>
        <w:t xml:space="preserve">dans </w:t>
      </w:r>
      <w:r w:rsidRPr="4C6A9C54">
        <w:rPr>
          <w:rStyle w:val="normaltextrun"/>
          <w:rFonts w:ascii="Encode Sans ExpandedSemiBold" w:hAnsi="Encode Sans ExpandedSemiBold"/>
        </w:rPr>
        <w:t>l</w:t>
      </w:r>
      <w:r w:rsidR="00AC180D" w:rsidRPr="4C6A9C54">
        <w:rPr>
          <w:rStyle w:val="normaltextrun"/>
          <w:rFonts w:ascii="Encode Sans ExpandedSemiBold" w:hAnsi="Encode Sans ExpandedSemiBold"/>
        </w:rPr>
        <w:t>es usines françaises depuis 2018</w:t>
      </w:r>
    </w:p>
    <w:p w14:paraId="3BBEB9D9" w14:textId="6A92E0CA" w:rsidR="4C6A9C54" w:rsidRPr="00250B43" w:rsidRDefault="4C6A9C54" w:rsidP="4C6A9C54">
      <w:pPr>
        <w:pStyle w:val="SBullet"/>
        <w:rPr>
          <w:color w:val="000000"/>
        </w:rPr>
      </w:pPr>
      <w:r w:rsidRPr="00250B43">
        <w:rPr>
          <w:color w:val="000000"/>
        </w:rPr>
        <w:t>Avec ses deux partenaires en co-entreprise, 150 millions d</w:t>
      </w:r>
      <w:r w:rsidR="0061797E">
        <w:rPr>
          <w:color w:val="000000"/>
        </w:rPr>
        <w:t>’</w:t>
      </w:r>
      <w:r w:rsidRPr="00250B43">
        <w:rPr>
          <w:color w:val="000000"/>
        </w:rPr>
        <w:t>euros ont été investis à ce jour dans les installations de Trémery-Metz pour les dernières nouveautés</w:t>
      </w:r>
    </w:p>
    <w:p w14:paraId="2F4BBAF9" w14:textId="56AED10C" w:rsidR="00761F0E" w:rsidRPr="00962D51" w:rsidRDefault="00AC180D" w:rsidP="00962D51">
      <w:pPr>
        <w:pStyle w:val="SBullet"/>
        <w:rPr>
          <w:rStyle w:val="normaltextrun"/>
          <w:rFonts w:ascii="Encode Sans ExpandedSemiBold" w:hAnsi="Encode Sans ExpandedSemiBold"/>
        </w:rPr>
      </w:pPr>
      <w:r>
        <w:rPr>
          <w:rStyle w:val="normaltextrun"/>
          <w:rFonts w:ascii="Encode Sans ExpandedSemiBold" w:hAnsi="Encode Sans ExpandedSemiBold"/>
        </w:rPr>
        <w:t>L</w:t>
      </w:r>
      <w:r w:rsidR="004041BE">
        <w:rPr>
          <w:rStyle w:val="normaltextrun"/>
          <w:rFonts w:ascii="Encode Sans ExpandedSemiBold" w:hAnsi="Encode Sans ExpandedSemiBold"/>
        </w:rPr>
        <w:t xml:space="preserve">a modernisation de Trémery-Metz renforce l’expertise de Stellantis dans la production de groupes motopropulseurs pour </w:t>
      </w:r>
      <w:r w:rsidR="00844F9C">
        <w:rPr>
          <w:rStyle w:val="normaltextrun"/>
          <w:rFonts w:ascii="Encode Sans ExpandedSemiBold" w:hAnsi="Encode Sans ExpandedSemiBold"/>
        </w:rPr>
        <w:t xml:space="preserve">les </w:t>
      </w:r>
      <w:r w:rsidR="004041BE">
        <w:rPr>
          <w:rStyle w:val="normaltextrun"/>
          <w:rFonts w:ascii="Encode Sans ExpandedSemiBold" w:hAnsi="Encode Sans ExpandedSemiBold"/>
        </w:rPr>
        <w:t xml:space="preserve">véhicules hybrides et </w:t>
      </w:r>
      <w:r w:rsidR="00844F9C">
        <w:rPr>
          <w:rStyle w:val="normaltextrun"/>
          <w:rFonts w:ascii="Encode Sans ExpandedSemiBold" w:hAnsi="Encode Sans ExpandedSemiBold"/>
        </w:rPr>
        <w:t xml:space="preserve">également </w:t>
      </w:r>
      <w:r w:rsidR="004041BE">
        <w:rPr>
          <w:rStyle w:val="normaltextrun"/>
          <w:rFonts w:ascii="Encode Sans ExpandedSemiBold" w:hAnsi="Encode Sans ExpandedSemiBold"/>
        </w:rPr>
        <w:t xml:space="preserve">100 % électriques </w:t>
      </w:r>
    </w:p>
    <w:p w14:paraId="25A4679B" w14:textId="2A6B9CE9" w:rsidR="00701AE7" w:rsidRPr="0056640E" w:rsidRDefault="003265D6" w:rsidP="00962D51">
      <w:pPr>
        <w:pStyle w:val="SBullet"/>
        <w:rPr>
          <w:rStyle w:val="normaltextrun"/>
          <w:rFonts w:ascii="Encode Sans ExpandedSemiBold" w:hAnsi="Encode Sans ExpandedSemiBold"/>
        </w:rPr>
      </w:pPr>
      <w:r w:rsidRPr="00EA2FF3">
        <w:rPr>
          <w:rStyle w:val="normaltextrun"/>
          <w:rFonts w:ascii="Encode Sans ExpandedSemiBold" w:hAnsi="Encode Sans ExpandedSemiBold"/>
        </w:rPr>
        <w:t xml:space="preserve">Les investissements </w:t>
      </w:r>
      <w:r w:rsidR="00844F9C" w:rsidRPr="0056640E">
        <w:rPr>
          <w:rStyle w:val="normaltextrun"/>
          <w:rFonts w:ascii="Encode Sans ExpandedSemiBold" w:hAnsi="Encode Sans ExpandedSemiBold"/>
        </w:rPr>
        <w:t>réalisés sur</w:t>
      </w:r>
      <w:r w:rsidR="0056640E">
        <w:rPr>
          <w:rStyle w:val="normaltextrun"/>
          <w:rFonts w:ascii="Encode Sans ExpandedSemiBold" w:hAnsi="Encode Sans ExpandedSemiBold"/>
        </w:rPr>
        <w:t xml:space="preserve"> </w:t>
      </w:r>
      <w:r w:rsidRPr="0056640E">
        <w:rPr>
          <w:rStyle w:val="normaltextrun"/>
          <w:rFonts w:ascii="Encode Sans ExpandedSemiBold" w:hAnsi="Encode Sans ExpandedSemiBold"/>
        </w:rPr>
        <w:t>Trémery-Metz</w:t>
      </w:r>
      <w:r w:rsidRPr="0056640E">
        <w:rPr>
          <w:rStyle w:val="normaltextrun"/>
          <w:rFonts w:ascii="Times New Roman" w:hAnsi="Times New Roman"/>
        </w:rPr>
        <w:t> </w:t>
      </w:r>
      <w:r w:rsidR="00844F9C" w:rsidRPr="0056640E">
        <w:rPr>
          <w:rStyle w:val="normaltextrun"/>
          <w:rFonts w:ascii="Encode Sans ExpandedSemiBold" w:hAnsi="Encode Sans ExpandedSemiBold"/>
        </w:rPr>
        <w:t xml:space="preserve">incarnent </w:t>
      </w:r>
      <w:r w:rsidRPr="0056640E">
        <w:rPr>
          <w:rStyle w:val="normaltextrun"/>
          <w:rFonts w:ascii="Encode Sans ExpandedSemiBold" w:hAnsi="Encode Sans ExpandedSemiBold"/>
        </w:rPr>
        <w:t xml:space="preserve">la capacité de Stellantis à créer une nouvelle chaîne de valeur électrifiée en associant partenariats, conception en interne et </w:t>
      </w:r>
      <w:r w:rsidR="00844F9C" w:rsidRPr="0056640E">
        <w:rPr>
          <w:rStyle w:val="normaltextrun"/>
          <w:rFonts w:ascii="Encode Sans ExpandedSemiBold" w:hAnsi="Encode Sans ExpandedSemiBold"/>
        </w:rPr>
        <w:t xml:space="preserve">expertise en </w:t>
      </w:r>
      <w:r w:rsidRPr="0056640E">
        <w:rPr>
          <w:rStyle w:val="normaltextrun"/>
          <w:rFonts w:ascii="Encode Sans ExpandedSemiBold" w:hAnsi="Encode Sans ExpandedSemiBold"/>
        </w:rPr>
        <w:t xml:space="preserve">production </w:t>
      </w:r>
    </w:p>
    <w:p w14:paraId="33C7EDCD" w14:textId="5D88E431" w:rsidR="00A14249" w:rsidRPr="00F43CAD" w:rsidRDefault="00E75B19" w:rsidP="00962D51">
      <w:pPr>
        <w:pStyle w:val="SBullet"/>
        <w:rPr>
          <w:rStyle w:val="normaltextrun"/>
          <w:rFonts w:ascii="Encode Sans ExpandedSemiBold" w:hAnsi="Encode Sans ExpandedSemiBold"/>
        </w:rPr>
      </w:pPr>
      <w:r>
        <w:rPr>
          <w:rStyle w:val="normaltextrun"/>
          <w:rFonts w:ascii="Encode Sans ExpandedSemiBold" w:hAnsi="Encode Sans ExpandedSemiBold"/>
        </w:rPr>
        <w:t>Les boîtes de vitesses et moteurs produits à Trémery-Metz boosteront l’engagement d</w:t>
      </w:r>
      <w:r w:rsidR="00766090">
        <w:rPr>
          <w:rStyle w:val="normaltextrun"/>
          <w:rFonts w:ascii="Encode Sans ExpandedSemiBold" w:hAnsi="Encode Sans ExpandedSemiBold"/>
        </w:rPr>
        <w:t>e l’entreprise</w:t>
      </w:r>
      <w:r w:rsidR="0056640E">
        <w:rPr>
          <w:rStyle w:val="normaltextrun"/>
          <w:rFonts w:ascii="Encode Sans ExpandedSemiBold" w:hAnsi="Encode Sans ExpandedSemiBold"/>
        </w:rPr>
        <w:t xml:space="preserve"> </w:t>
      </w:r>
      <w:r>
        <w:rPr>
          <w:rStyle w:val="normaltextrun"/>
          <w:rFonts w:ascii="Encode Sans ExpandedSemiBold" w:hAnsi="Encode Sans ExpandedSemiBold"/>
        </w:rPr>
        <w:t>en faveur d</w:t>
      </w:r>
      <w:r w:rsidR="0061797E">
        <w:rPr>
          <w:rStyle w:val="normaltextrun"/>
          <w:rFonts w:ascii="Encode Sans ExpandedSemiBold" w:hAnsi="Encode Sans ExpandedSemiBold"/>
        </w:rPr>
        <w:t>’</w:t>
      </w:r>
      <w:r>
        <w:rPr>
          <w:rStyle w:val="normaltextrun"/>
          <w:rFonts w:ascii="Encode Sans ExpandedSemiBold" w:hAnsi="Encode Sans ExpandedSemiBold"/>
        </w:rPr>
        <w:t xml:space="preserve">une mobilité propre, sûre et abordable </w:t>
      </w:r>
    </w:p>
    <w:p w14:paraId="2B4EA3BA" w14:textId="5789DF1F" w:rsidR="00D914AA" w:rsidRDefault="00D41498" w:rsidP="007E50BA">
      <w:pPr>
        <w:pStyle w:val="SDatePlace"/>
        <w:spacing w:after="0"/>
        <w:jc w:val="both"/>
      </w:pPr>
      <w:r>
        <w:t>AMSTERDAM, le 29 juin 2022 – Aujourd’hui, à l</w:t>
      </w:r>
      <w:r w:rsidR="0061797E">
        <w:t>’</w:t>
      </w:r>
      <w:r>
        <w:t>occasion d</w:t>
      </w:r>
      <w:r w:rsidR="0061797E">
        <w:t>’</w:t>
      </w:r>
      <w:r>
        <w:t xml:space="preserve">une visite des usines de </w:t>
      </w:r>
      <w:r w:rsidR="00844F9C">
        <w:t xml:space="preserve">production </w:t>
      </w:r>
      <w:r>
        <w:t>de Trémery-Metz en France, le CEO de Stellantis Carlos Tavares a souligné combien la transformation de ces sites était emblématique de la progression de l</w:t>
      </w:r>
      <w:r w:rsidR="0061797E">
        <w:t>’</w:t>
      </w:r>
      <w:r>
        <w:t xml:space="preserve">entreprise vers la réalisation des ambitions électriques de son Plan </w:t>
      </w:r>
      <w:hyperlink r:id="rId11">
        <w:r>
          <w:rPr>
            <w:rStyle w:val="Hyperlink"/>
            <w:color w:val="243782" w:themeColor="accent1"/>
            <w:u w:val="single"/>
          </w:rPr>
          <w:t>Dare Forward 2030</w:t>
        </w:r>
      </w:hyperlink>
      <w:r>
        <w:t xml:space="preserve"> et, notamment, de son objectif d</w:t>
      </w:r>
      <w:r w:rsidR="0061797E">
        <w:t>’</w:t>
      </w:r>
      <w:r>
        <w:t>atteindre un mix de 100 % de véhicules particuliers électriques (BEV) vendus en Europe et de 50 % de véhicules particuliers et de pick-up électriques vendus aux États-Unis à l</w:t>
      </w:r>
      <w:r w:rsidR="0061797E">
        <w:t>’</w:t>
      </w:r>
      <w:r>
        <w:t>horizon 2030.</w:t>
      </w:r>
      <w:r w:rsidR="00844F9C" w:rsidRPr="00844F9C">
        <w:t xml:space="preserve"> Depuis 2018, l</w:t>
      </w:r>
      <w:r w:rsidR="00291957">
        <w:t xml:space="preserve">’entreprise </w:t>
      </w:r>
      <w:r w:rsidR="00844F9C" w:rsidRPr="00844F9C">
        <w:t>a investi 2 milliards d</w:t>
      </w:r>
      <w:r w:rsidR="0061797E">
        <w:t>’</w:t>
      </w:r>
      <w:r w:rsidR="00844F9C" w:rsidRPr="00844F9C">
        <w:t xml:space="preserve">euros dans ses activités de </w:t>
      </w:r>
      <w:r w:rsidR="00844F9C">
        <w:t>production</w:t>
      </w:r>
      <w:r w:rsidR="00844F9C" w:rsidRPr="00844F9C">
        <w:t xml:space="preserve"> en France.</w:t>
      </w:r>
    </w:p>
    <w:p w14:paraId="2978FBA1" w14:textId="77777777" w:rsidR="0019781F" w:rsidRDefault="0019781F" w:rsidP="00FD0676">
      <w:pPr>
        <w:pStyle w:val="SDatePlace"/>
        <w:spacing w:after="0"/>
        <w:jc w:val="both"/>
      </w:pPr>
    </w:p>
    <w:p w14:paraId="1E458CD9" w14:textId="77777777" w:rsidR="00250B43" w:rsidRDefault="00844F9C" w:rsidP="00FD0676">
      <w:pPr>
        <w:pStyle w:val="SDatePlace"/>
        <w:spacing w:after="0"/>
        <w:jc w:val="both"/>
      </w:pPr>
      <w:r>
        <w:t>L</w:t>
      </w:r>
      <w:r w:rsidR="00B63BFC">
        <w:t xml:space="preserve">a modernisation des sites de Trémery-Metz renforce l’expertise de Stellantis dans la production de groupes motopropulseurs pour </w:t>
      </w:r>
      <w:r>
        <w:t xml:space="preserve">les </w:t>
      </w:r>
      <w:r w:rsidR="00B63BFC">
        <w:lastRenderedPageBreak/>
        <w:t xml:space="preserve">véhicules mild-hybrid, hybrides rechargeables et 100 % électriques, permettant d’offrir des solutions de mobilité propres, sûres et abordables, tout en facilitant la transition des véhicules à moteur à combustion interne (ICE) </w:t>
      </w:r>
      <w:r w:rsidR="00330B5A">
        <w:t xml:space="preserve">vers les </w:t>
      </w:r>
      <w:r w:rsidR="00B63BFC">
        <w:t xml:space="preserve">BEV.  </w:t>
      </w:r>
    </w:p>
    <w:p w14:paraId="425CA5E8" w14:textId="77777777" w:rsidR="00250B43" w:rsidRDefault="00250B43" w:rsidP="00FD0676">
      <w:pPr>
        <w:pStyle w:val="SDatePlace"/>
        <w:spacing w:after="0"/>
        <w:jc w:val="both"/>
      </w:pPr>
    </w:p>
    <w:p w14:paraId="6980DFD9" w14:textId="3491D55F" w:rsidR="0078538B" w:rsidRDefault="00761F0E" w:rsidP="00FD0676">
      <w:pPr>
        <w:pStyle w:val="SDatePlace"/>
        <w:spacing w:after="0"/>
        <w:jc w:val="both"/>
      </w:pPr>
      <w:r>
        <w:t xml:space="preserve">« Trémery-Metz est un parfait exemple de notre transformation industrielle, en France et sur l’ensemble de nos sites dans le monde », a déclaré Carlos Tavares, CEO de Stellantis. « Nous avons créé une nouvelle chaîne de valeur mondiale avec des partenaires de confiance, y compris cinq </w:t>
      </w:r>
      <w:proofErr w:type="spellStart"/>
      <w:r w:rsidR="00291957">
        <w:t>gigafactories</w:t>
      </w:r>
      <w:proofErr w:type="spellEnd"/>
      <w:r>
        <w:t xml:space="preserve">, pour soutenir notre stratégie globale dans le domaine des batteries pour </w:t>
      </w:r>
      <w:r w:rsidR="00330B5A">
        <w:t xml:space="preserve">les </w:t>
      </w:r>
      <w:r>
        <w:t xml:space="preserve">véhicules électriques et atteindre les objectifs de notre Plan Dare Forward 2030. Je tiens à remercier chaleureusement l’ensemble de nos partenaires sociaux, </w:t>
      </w:r>
      <w:r w:rsidR="00854D82">
        <w:t>les parties prenantes locales</w:t>
      </w:r>
      <w:r>
        <w:t xml:space="preserve"> et </w:t>
      </w:r>
      <w:r w:rsidR="00844F9C">
        <w:t xml:space="preserve">nos </w:t>
      </w:r>
      <w:r>
        <w:t>collaborateurs hautement qualifiés qui accompagnent la montée en puissance de la production sur le pôle Trémery-Metz et notre avancée vers un avenir électrifié. »</w:t>
      </w:r>
    </w:p>
    <w:p w14:paraId="754D08E8" w14:textId="77777777" w:rsidR="000B0C4E" w:rsidRDefault="000B0C4E" w:rsidP="00FD0676">
      <w:pPr>
        <w:pStyle w:val="SDatePlace"/>
        <w:spacing w:after="0"/>
        <w:jc w:val="both"/>
        <w:rPr>
          <w:sz w:val="20"/>
          <w:szCs w:val="20"/>
        </w:rPr>
      </w:pPr>
    </w:p>
    <w:p w14:paraId="29BF3EB1" w14:textId="7D6F5EB9" w:rsidR="00A14249" w:rsidRDefault="00BF2BEC" w:rsidP="00FD0676">
      <w:pPr>
        <w:pStyle w:val="SDatePlace"/>
        <w:spacing w:after="0"/>
        <w:jc w:val="both"/>
      </w:pPr>
      <w:r>
        <w:t xml:space="preserve">Grâce à des investissements dans </w:t>
      </w:r>
      <w:r w:rsidR="00761F0E">
        <w:t xml:space="preserve">deux </w:t>
      </w:r>
      <w:r w:rsidR="00EA2FF3">
        <w:t xml:space="preserve">co-entreprises </w:t>
      </w:r>
      <w:r w:rsidR="00761F0E">
        <w:t xml:space="preserve">clés à Trémery-Metz (cf. infographie « Chaîne de valeur »), Stellantis a mis en œuvre une stratégie d’intégration verticale </w:t>
      </w:r>
      <w:r>
        <w:t xml:space="preserve">destinée à accroître </w:t>
      </w:r>
      <w:r w:rsidR="00761F0E">
        <w:t xml:space="preserve">le contrôle de la chaîne de valeur </w:t>
      </w:r>
      <w:r>
        <w:t xml:space="preserve">globale </w:t>
      </w:r>
      <w:r w:rsidR="00330B5A">
        <w:t xml:space="preserve">de </w:t>
      </w:r>
      <w:r w:rsidR="00761F0E">
        <w:t xml:space="preserve">l’électrification.  </w:t>
      </w:r>
    </w:p>
    <w:p w14:paraId="7BC5EBDC" w14:textId="77777777" w:rsidR="00451A29" w:rsidRDefault="00451A29" w:rsidP="00FD0676">
      <w:pPr>
        <w:pStyle w:val="SDatePlace"/>
        <w:spacing w:after="0"/>
        <w:jc w:val="both"/>
      </w:pPr>
    </w:p>
    <w:p w14:paraId="7AFBE7E7" w14:textId="458A64BA" w:rsidR="00A14249" w:rsidRDefault="00761F0E" w:rsidP="00FD0676">
      <w:pPr>
        <w:pStyle w:val="SDatePlace"/>
        <w:numPr>
          <w:ilvl w:val="0"/>
          <w:numId w:val="22"/>
        </w:numPr>
        <w:spacing w:after="0"/>
        <w:jc w:val="both"/>
      </w:pPr>
      <w:proofErr w:type="spellStart"/>
      <w:r>
        <w:rPr>
          <w:b/>
          <w:bCs/>
        </w:rPr>
        <w:t>Emotors</w:t>
      </w:r>
      <w:proofErr w:type="spellEnd"/>
      <w:r>
        <w:t xml:space="preserve">, une </w:t>
      </w:r>
      <w:r w:rsidR="00854D82">
        <w:t>co</w:t>
      </w:r>
      <w:r w:rsidR="0056640E">
        <w:t>-</w:t>
      </w:r>
      <w:r w:rsidR="00854D82">
        <w:t xml:space="preserve">entreprise à 50/50 </w:t>
      </w:r>
      <w:r>
        <w:t xml:space="preserve">formée avec </w:t>
      </w:r>
      <w:proofErr w:type="spellStart"/>
      <w:r>
        <w:t>Nidec</w:t>
      </w:r>
      <w:proofErr w:type="spellEnd"/>
      <w:r>
        <w:t xml:space="preserve"> Leroy-</w:t>
      </w:r>
      <w:proofErr w:type="spellStart"/>
      <w:r>
        <w:t>Somer</w:t>
      </w:r>
      <w:proofErr w:type="spellEnd"/>
      <w:r>
        <w:t xml:space="preserve"> Holding, débutera cette année la production de sa gamme de moteurs électriques de pointe à l’usine de Trémery</w:t>
      </w:r>
      <w:r w:rsidR="009950D2">
        <w:t>, anciennement</w:t>
      </w:r>
      <w:r>
        <w:t xml:space="preserve"> plus grande usine de </w:t>
      </w:r>
      <w:r w:rsidR="00854D82">
        <w:t xml:space="preserve">production </w:t>
      </w:r>
      <w:r>
        <w:t xml:space="preserve">de moteurs diesel </w:t>
      </w:r>
      <w:r w:rsidR="00854D82">
        <w:t xml:space="preserve">au </w:t>
      </w:r>
      <w:r>
        <w:t>monde</w:t>
      </w:r>
      <w:r w:rsidR="009950D2">
        <w:t xml:space="preserve"> et </w:t>
      </w:r>
      <w:r w:rsidRPr="00C35F8B">
        <w:t xml:space="preserve">aujourd’hui le premier site </w:t>
      </w:r>
      <w:r w:rsidR="00C35F8B" w:rsidRPr="00962D51">
        <w:t xml:space="preserve">Stellantis </w:t>
      </w:r>
      <w:r w:rsidRPr="00C35F8B">
        <w:t xml:space="preserve">à produire des moteurs électriques. </w:t>
      </w:r>
      <w:r w:rsidR="00854D82" w:rsidRPr="00C35F8B">
        <w:t>Grâc</w:t>
      </w:r>
      <w:r w:rsidR="00854D82">
        <w:t xml:space="preserve">e à </w:t>
      </w:r>
      <w:r>
        <w:t>un investissement de</w:t>
      </w:r>
      <w:r w:rsidR="00BF4280">
        <w:t xml:space="preserve"> </w:t>
      </w:r>
      <w:r w:rsidR="00BF2BEC">
        <w:t>93</w:t>
      </w:r>
      <w:r>
        <w:t> millions d’euros</w:t>
      </w:r>
      <w:r w:rsidR="00BF2BEC">
        <w:t xml:space="preserve"> à ce jour</w:t>
      </w:r>
      <w:r>
        <w:t xml:space="preserve">, </w:t>
      </w:r>
      <w:proofErr w:type="spellStart"/>
      <w:r>
        <w:t>Emotors</w:t>
      </w:r>
      <w:proofErr w:type="spellEnd"/>
      <w:r>
        <w:t xml:space="preserve"> a pour objectif </w:t>
      </w:r>
      <w:r w:rsidR="00854D82">
        <w:t xml:space="preserve">d’intensifier </w:t>
      </w:r>
      <w:r>
        <w:t>la croissance de l</w:t>
      </w:r>
      <w:r w:rsidR="0061797E">
        <w:t>’</w:t>
      </w:r>
      <w:r>
        <w:t xml:space="preserve">électrification chez Stellantis tout en répondant aux besoins d’autres constructeurs automobiles. La </w:t>
      </w:r>
      <w:r w:rsidR="00854D82">
        <w:t>co</w:t>
      </w:r>
      <w:r w:rsidR="0056640E">
        <w:t>-</w:t>
      </w:r>
      <w:r w:rsidR="00854D82">
        <w:t xml:space="preserve">entreprise a une </w:t>
      </w:r>
      <w:r w:rsidR="00854D82" w:rsidRPr="00854D82">
        <w:t xml:space="preserve">capacité </w:t>
      </w:r>
      <w:r w:rsidR="00BF2BEC">
        <w:t xml:space="preserve">de production </w:t>
      </w:r>
      <w:r w:rsidR="00854D82">
        <w:t xml:space="preserve">prévue </w:t>
      </w:r>
      <w:r w:rsidR="00854D82" w:rsidRPr="00854D82">
        <w:t xml:space="preserve">de plus de 1 million de moteurs par an </w:t>
      </w:r>
      <w:r w:rsidR="00BF2BEC">
        <w:t>à partir de 2024</w:t>
      </w:r>
      <w:r w:rsidR="00854D82" w:rsidRPr="00854D82">
        <w:t xml:space="preserve">. </w:t>
      </w:r>
      <w:r>
        <w:t xml:space="preserve"> </w:t>
      </w:r>
    </w:p>
    <w:p w14:paraId="0B67768F" w14:textId="77777777" w:rsidR="00F30E95" w:rsidRDefault="00F30E95" w:rsidP="002E25EB">
      <w:pPr>
        <w:pStyle w:val="SDatePlace"/>
        <w:spacing w:after="0"/>
        <w:ind w:left="720"/>
        <w:jc w:val="both"/>
      </w:pPr>
    </w:p>
    <w:p w14:paraId="58132FAF" w14:textId="0F8C91BD" w:rsidR="00D16760" w:rsidRDefault="00761F0E" w:rsidP="00FD0676">
      <w:pPr>
        <w:pStyle w:val="SDatePlace"/>
        <w:numPr>
          <w:ilvl w:val="0"/>
          <w:numId w:val="22"/>
        </w:numPr>
        <w:spacing w:after="0"/>
        <w:jc w:val="both"/>
      </w:pPr>
      <w:proofErr w:type="gramStart"/>
      <w:r>
        <w:rPr>
          <w:b/>
          <w:bCs/>
        </w:rPr>
        <w:t>e</w:t>
      </w:r>
      <w:proofErr w:type="gramEnd"/>
      <w:r>
        <w:rPr>
          <w:b/>
          <w:bCs/>
        </w:rPr>
        <w:t>-Transmissions</w:t>
      </w:r>
      <w:r>
        <w:t xml:space="preserve">, une </w:t>
      </w:r>
      <w:r w:rsidR="0036254D">
        <w:t>co</w:t>
      </w:r>
      <w:r w:rsidR="0056640E">
        <w:t>-</w:t>
      </w:r>
      <w:r w:rsidR="0036254D">
        <w:t xml:space="preserve">entreprise (50/50) </w:t>
      </w:r>
      <w:r>
        <w:t>formée avec Punch Powertrain et soutenue par un investissement de</w:t>
      </w:r>
      <w:r w:rsidR="00692561">
        <w:t xml:space="preserve"> 57</w:t>
      </w:r>
      <w:r>
        <w:t> millions d’euros</w:t>
      </w:r>
      <w:r w:rsidR="00BF2BEC">
        <w:t xml:space="preserve"> à ce jour</w:t>
      </w:r>
      <w:r>
        <w:t xml:space="preserve">, se concentre sur la production de la nouvelle génération de boîtes de vitesses électrifiées à double embrayage (e-DCT) au sein de l’usine Stellantis de Metz. Reconnu pour son savoir-faire dans la fabrication des boîtes de vitesses, le site de Metz devrait </w:t>
      </w:r>
      <w:r w:rsidR="0036254D">
        <w:t xml:space="preserve">augmenter </w:t>
      </w:r>
      <w:r>
        <w:t xml:space="preserve">sa capacité de production annuelle </w:t>
      </w:r>
      <w:r w:rsidR="0036254D">
        <w:t xml:space="preserve">à </w:t>
      </w:r>
      <w:r>
        <w:t>environ 600 000 boîtes de vitesses e-DCT destinées au portefeuille de véhicules hybrides de Stellantis dès 2024.</w:t>
      </w:r>
    </w:p>
    <w:p w14:paraId="2A237213" w14:textId="77777777" w:rsidR="00840D0A" w:rsidRDefault="00840D0A" w:rsidP="00FD0676">
      <w:pPr>
        <w:pStyle w:val="SDatePlace"/>
        <w:spacing w:after="0"/>
        <w:jc w:val="both"/>
      </w:pPr>
    </w:p>
    <w:p w14:paraId="2656F86C" w14:textId="77777777" w:rsidR="00576DE5" w:rsidRDefault="00F14F81" w:rsidP="002E25EB">
      <w:pPr>
        <w:pStyle w:val="SDatePlace"/>
        <w:spacing w:after="0"/>
        <w:rPr>
          <w:b/>
          <w:bCs/>
        </w:rPr>
      </w:pPr>
      <w:r>
        <w:rPr>
          <w:b/>
          <w:bCs/>
        </w:rPr>
        <w:t>Des solutions électrifiées conçues pour les clients</w:t>
      </w:r>
    </w:p>
    <w:p w14:paraId="2C88990D" w14:textId="27E3BCCC" w:rsidR="00EA2FF3" w:rsidRDefault="00C35F8B" w:rsidP="00962D51">
      <w:pPr>
        <w:pStyle w:val="SDatePlace"/>
        <w:spacing w:after="0"/>
        <w:jc w:val="both"/>
        <w:rPr>
          <w:lang w:val="fr"/>
        </w:rPr>
      </w:pPr>
      <w:r w:rsidRPr="00C35F8B">
        <w:rPr>
          <w:lang w:val="fr"/>
        </w:rPr>
        <w:lastRenderedPageBreak/>
        <w:t xml:space="preserve">Le M3 </w:t>
      </w:r>
      <w:r w:rsidRPr="00C35F8B">
        <w:rPr>
          <w:b/>
          <w:bCs/>
          <w:lang w:val="fr"/>
        </w:rPr>
        <w:t>d’</w:t>
      </w:r>
      <w:proofErr w:type="spellStart"/>
      <w:r w:rsidRPr="00C35F8B">
        <w:rPr>
          <w:b/>
          <w:bCs/>
          <w:lang w:val="fr"/>
        </w:rPr>
        <w:t>Emotors</w:t>
      </w:r>
      <w:proofErr w:type="spellEnd"/>
      <w:r w:rsidRPr="00C35F8B">
        <w:rPr>
          <w:lang w:val="fr"/>
        </w:rPr>
        <w:t xml:space="preserve"> sera le premier moteur électrique à être lancé. Le M3 fournira un système d’entraînement électrique efficace </w:t>
      </w:r>
      <w:r w:rsidR="009950D2">
        <w:rPr>
          <w:lang w:val="fr"/>
        </w:rPr>
        <w:t xml:space="preserve">et compétitif en termes de coûts, </w:t>
      </w:r>
      <w:r w:rsidRPr="00C35F8B">
        <w:rPr>
          <w:lang w:val="fr"/>
        </w:rPr>
        <w:t xml:space="preserve">conçu pour fonctionner à 400 volts et </w:t>
      </w:r>
      <w:r>
        <w:rPr>
          <w:lang w:val="fr"/>
        </w:rPr>
        <w:t xml:space="preserve">capable de </w:t>
      </w:r>
      <w:r w:rsidRPr="00C35F8B">
        <w:rPr>
          <w:lang w:val="fr"/>
        </w:rPr>
        <w:t xml:space="preserve">fournir 115 kW de puissance, </w:t>
      </w:r>
      <w:r>
        <w:rPr>
          <w:lang w:val="fr"/>
        </w:rPr>
        <w:t xml:space="preserve">et </w:t>
      </w:r>
      <w:r w:rsidRPr="00C35F8B">
        <w:rPr>
          <w:lang w:val="fr"/>
        </w:rPr>
        <w:t xml:space="preserve">qui devrait faire ses débuts sur un </w:t>
      </w:r>
      <w:r>
        <w:rPr>
          <w:lang w:val="fr"/>
        </w:rPr>
        <w:t xml:space="preserve">BEV de </w:t>
      </w:r>
      <w:r w:rsidRPr="00C35F8B">
        <w:rPr>
          <w:lang w:val="fr"/>
        </w:rPr>
        <w:t>Stellantis d’ici fin 2022</w:t>
      </w:r>
    </w:p>
    <w:p w14:paraId="66CE9734" w14:textId="77777777" w:rsidR="00250B43" w:rsidRDefault="00250B43" w:rsidP="00962D51">
      <w:pPr>
        <w:pStyle w:val="SDatePlace"/>
        <w:spacing w:after="0"/>
        <w:jc w:val="both"/>
        <w:rPr>
          <w:lang w:val="fr"/>
        </w:rPr>
      </w:pPr>
    </w:p>
    <w:p w14:paraId="71ABADE4" w14:textId="6B0B9F72" w:rsidR="00397A87" w:rsidRPr="00397A87" w:rsidRDefault="00C35F8B" w:rsidP="00397A87">
      <w:pPr>
        <w:pStyle w:val="SDatePlace"/>
        <w:jc w:val="both"/>
      </w:pPr>
      <w:r w:rsidRPr="00C35F8B">
        <w:rPr>
          <w:b/>
          <w:bCs/>
          <w:lang w:val="fr"/>
        </w:rPr>
        <w:t>L’e</w:t>
      </w:r>
      <w:r w:rsidR="00291957">
        <w:rPr>
          <w:b/>
          <w:bCs/>
          <w:lang w:val="fr"/>
        </w:rPr>
        <w:t>-</w:t>
      </w:r>
      <w:r w:rsidRPr="00C35F8B">
        <w:rPr>
          <w:b/>
          <w:bCs/>
          <w:lang w:val="fr"/>
        </w:rPr>
        <w:t>DCT</w:t>
      </w:r>
      <w:r w:rsidRPr="00C35F8B">
        <w:rPr>
          <w:lang w:val="fr"/>
        </w:rPr>
        <w:t xml:space="preserve"> est disponible avec deux niveaux d’électrification, 48 volts et 320 volts, et peut être utilisé </w:t>
      </w:r>
      <w:r w:rsidR="00245A68">
        <w:rPr>
          <w:lang w:val="fr"/>
        </w:rPr>
        <w:t xml:space="preserve">aussi bien sur des </w:t>
      </w:r>
      <w:r w:rsidRPr="00C35F8B">
        <w:rPr>
          <w:lang w:val="fr"/>
        </w:rPr>
        <w:t xml:space="preserve">hybrides </w:t>
      </w:r>
      <w:r w:rsidR="00245A68">
        <w:rPr>
          <w:lang w:val="fr"/>
        </w:rPr>
        <w:t>que</w:t>
      </w:r>
      <w:r w:rsidRPr="00C35F8B">
        <w:rPr>
          <w:lang w:val="fr"/>
        </w:rPr>
        <w:t xml:space="preserve"> </w:t>
      </w:r>
      <w:r w:rsidR="00245A68">
        <w:rPr>
          <w:lang w:val="fr"/>
        </w:rPr>
        <w:t xml:space="preserve">sur des </w:t>
      </w:r>
      <w:r w:rsidRPr="00C35F8B">
        <w:rPr>
          <w:lang w:val="fr"/>
        </w:rPr>
        <w:t xml:space="preserve">PHEV.  </w:t>
      </w:r>
      <w:r w:rsidR="00245A68">
        <w:rPr>
          <w:lang w:val="fr"/>
        </w:rPr>
        <w:t>Prévu pour être lancé en 2023, l</w:t>
      </w:r>
      <w:r w:rsidR="00245A68" w:rsidRPr="00C35F8B">
        <w:rPr>
          <w:lang w:val="fr"/>
        </w:rPr>
        <w:t xml:space="preserve">e système de propulsion hybride de 48 volts </w:t>
      </w:r>
      <w:r w:rsidR="00245A68">
        <w:rPr>
          <w:lang w:val="fr"/>
        </w:rPr>
        <w:t>associé</w:t>
      </w:r>
      <w:r w:rsidR="00245A68" w:rsidRPr="00C35F8B">
        <w:rPr>
          <w:lang w:val="fr"/>
        </w:rPr>
        <w:t xml:space="preserve"> à une évolution </w:t>
      </w:r>
      <w:r w:rsidR="00245A68">
        <w:rPr>
          <w:lang w:val="fr"/>
        </w:rPr>
        <w:t>importante</w:t>
      </w:r>
      <w:r w:rsidR="00245A68" w:rsidRPr="00C35F8B">
        <w:rPr>
          <w:lang w:val="fr"/>
        </w:rPr>
        <w:t xml:space="preserve"> du moteur à essence </w:t>
      </w:r>
      <w:proofErr w:type="spellStart"/>
      <w:r w:rsidR="00245A68" w:rsidRPr="00C35F8B">
        <w:rPr>
          <w:lang w:val="fr"/>
        </w:rPr>
        <w:t>PureTech</w:t>
      </w:r>
      <w:proofErr w:type="spellEnd"/>
      <w:r w:rsidR="00245A68" w:rsidRPr="00C35F8B">
        <w:rPr>
          <w:lang w:val="fr"/>
        </w:rPr>
        <w:t xml:space="preserve"> Turbo 3 cylindres de 1,2 litre </w:t>
      </w:r>
      <w:r w:rsidRPr="00C35F8B">
        <w:rPr>
          <w:lang w:val="fr"/>
        </w:rPr>
        <w:t xml:space="preserve">offre une </w:t>
      </w:r>
      <w:r w:rsidR="009950D2">
        <w:rPr>
          <w:lang w:val="fr"/>
        </w:rPr>
        <w:t xml:space="preserve">vraie </w:t>
      </w:r>
      <w:r w:rsidRPr="00C35F8B">
        <w:rPr>
          <w:lang w:val="fr"/>
        </w:rPr>
        <w:t>expérience de conduite électrifiée</w:t>
      </w:r>
      <w:r w:rsidR="009950D2">
        <w:rPr>
          <w:lang w:val="fr"/>
        </w:rPr>
        <w:t xml:space="preserve">, </w:t>
      </w:r>
      <w:r w:rsidR="009950D2">
        <w:t>propulsant</w:t>
      </w:r>
      <w:r w:rsidR="00245A68" w:rsidRPr="00245A68">
        <w:t xml:space="preserve"> les roues du véhicule même quand le moteur thermique est coupé</w:t>
      </w:r>
      <w:r w:rsidR="009950D2">
        <w:t xml:space="preserve"> et réduisant</w:t>
      </w:r>
      <w:r w:rsidR="00245A68" w:rsidRPr="00245A68">
        <w:t xml:space="preserve"> la consommation de carburant et les émissions de CO</w:t>
      </w:r>
      <w:r w:rsidR="00245A68" w:rsidRPr="00245A68">
        <w:rPr>
          <w:vertAlign w:val="subscript"/>
        </w:rPr>
        <w:t>2</w:t>
      </w:r>
      <w:r w:rsidR="00245A68" w:rsidRPr="00245A68">
        <w:t xml:space="preserve"> de près de 20 % par rapport au </w:t>
      </w:r>
      <w:r w:rsidR="00245A68">
        <w:t>groupe motopropulseur</w:t>
      </w:r>
      <w:r w:rsidR="00245A68" w:rsidRPr="00245A68">
        <w:t xml:space="preserve"> actuel.  </w:t>
      </w:r>
    </w:p>
    <w:p w14:paraId="58A19CE5" w14:textId="1887EEF8" w:rsidR="00761F0E" w:rsidRDefault="00761F0E" w:rsidP="00FD0676">
      <w:pPr>
        <w:pStyle w:val="SDatePlace"/>
        <w:spacing w:after="0"/>
        <w:jc w:val="both"/>
        <w:rPr>
          <w:rFonts w:eastAsia="Times New Roman"/>
          <w:b/>
          <w:bCs/>
          <w:color w:val="000000"/>
          <w:szCs w:val="24"/>
        </w:rPr>
      </w:pPr>
      <w:r>
        <w:rPr>
          <w:b/>
          <w:bCs/>
          <w:color w:val="000000"/>
          <w:szCs w:val="24"/>
        </w:rPr>
        <w:t xml:space="preserve">Une riche histoire en France </w:t>
      </w:r>
    </w:p>
    <w:p w14:paraId="17700F60" w14:textId="77777777" w:rsidR="00250B43" w:rsidRDefault="00C35F8B" w:rsidP="00FD0676">
      <w:pPr>
        <w:pStyle w:val="SDatePlace"/>
        <w:spacing w:after="0"/>
        <w:jc w:val="both"/>
        <w:rPr>
          <w:lang w:val="fr"/>
        </w:rPr>
      </w:pPr>
      <w:r w:rsidRPr="4C6A9C54">
        <w:rPr>
          <w:lang w:val="fr"/>
        </w:rPr>
        <w:t xml:space="preserve">Au cours des quatre dernières années, </w:t>
      </w:r>
      <w:r w:rsidR="00BF2BEC" w:rsidRPr="4C6A9C54">
        <w:rPr>
          <w:lang w:val="fr"/>
        </w:rPr>
        <w:t xml:space="preserve">les sociétés fusionnées fondatrices de Stellantis ont </w:t>
      </w:r>
      <w:r w:rsidRPr="4C6A9C54">
        <w:rPr>
          <w:lang w:val="fr"/>
        </w:rPr>
        <w:t>investi près de 2 milliards d’euros dans la transformation industrielle de ses usines en France, et environ 750 millions d’euros depuis la création de Stellantis en 2021.</w:t>
      </w:r>
    </w:p>
    <w:p w14:paraId="4BF0B71E" w14:textId="77777777" w:rsidR="00250B43" w:rsidRDefault="00250B43" w:rsidP="00FD0676">
      <w:pPr>
        <w:pStyle w:val="SDatePlace"/>
        <w:spacing w:after="0"/>
        <w:jc w:val="both"/>
        <w:rPr>
          <w:lang w:val="fr"/>
        </w:rPr>
      </w:pPr>
    </w:p>
    <w:p w14:paraId="6A7B4F0C" w14:textId="410A872E" w:rsidR="00761F0E" w:rsidRPr="00250B43" w:rsidRDefault="00761F0E" w:rsidP="00FD0676">
      <w:pPr>
        <w:pStyle w:val="SDatePlace"/>
        <w:spacing w:after="0"/>
        <w:jc w:val="both"/>
      </w:pPr>
      <w:r>
        <w:rPr>
          <w:color w:val="000000"/>
          <w:szCs w:val="24"/>
        </w:rPr>
        <w:t xml:space="preserve">Trémery-Metz regroupe le site de Trémery, spécialisé dans la </w:t>
      </w:r>
      <w:r w:rsidR="00245A68">
        <w:rPr>
          <w:color w:val="000000"/>
          <w:szCs w:val="24"/>
        </w:rPr>
        <w:t xml:space="preserve">production </w:t>
      </w:r>
      <w:r>
        <w:rPr>
          <w:color w:val="000000"/>
          <w:szCs w:val="24"/>
        </w:rPr>
        <w:t xml:space="preserve">de moteurs et de groupes motopropulseurs électriques, et le site de Metz, dédié à la </w:t>
      </w:r>
      <w:r w:rsidR="00245A68">
        <w:rPr>
          <w:color w:val="000000"/>
          <w:szCs w:val="24"/>
        </w:rPr>
        <w:t xml:space="preserve">production </w:t>
      </w:r>
      <w:r>
        <w:rPr>
          <w:color w:val="000000"/>
          <w:szCs w:val="24"/>
        </w:rPr>
        <w:t>de boîtes de vitesses manuelles à cinq ou six rapports. Le pôle industriel Trémery-Metz est enraciné en Moselle depuis plus de 45 ans. Situé au cœur de l’Europe, il bénéficie d’une situation géographique privilégiée. La proximité immédiate des principaux axes autoroutiers lui permet ainsi d’expédier dans toute l’Europe les milliers de moteurs et de boîtes de vitesses qu’il produit chaque jour.</w:t>
      </w:r>
    </w:p>
    <w:p w14:paraId="179464F7" w14:textId="77777777" w:rsidR="00761F0E" w:rsidRPr="00761F0E" w:rsidRDefault="00761F0E" w:rsidP="00FD0676">
      <w:pPr>
        <w:pStyle w:val="SDatePlace"/>
        <w:spacing w:after="0"/>
        <w:jc w:val="both"/>
        <w:rPr>
          <w:rFonts w:eastAsia="Times New Roman"/>
          <w:color w:val="000000"/>
          <w:szCs w:val="24"/>
        </w:rPr>
      </w:pPr>
    </w:p>
    <w:p w14:paraId="169F3586" w14:textId="30CD1D85" w:rsidR="00B47C99" w:rsidRPr="003F0B8F" w:rsidRDefault="00761F0E" w:rsidP="4C6A9C54">
      <w:pPr>
        <w:pStyle w:val="SDatePlace"/>
        <w:spacing w:after="0"/>
        <w:jc w:val="both"/>
        <w:rPr>
          <w:rFonts w:eastAsia="Times New Roman"/>
        </w:rPr>
      </w:pPr>
      <w:r>
        <w:t xml:space="preserve">La longue tradition industrielle de la région permet au pôle de Trémery-Metz de </w:t>
      </w:r>
      <w:r w:rsidR="00626CFF">
        <w:t>compter sur</w:t>
      </w:r>
      <w:r>
        <w:t xml:space="preserve"> 3 230 salariés hautement qualifiés dont le professionnalisme et la rigueur sont unanimement reconnus. Avec ses sites de Trémery et Metz, Stellantis est un des premiers employeurs privés de Lorraine. Le groupe emploie plus de 15 000 collaborateurs dans l’est de la France, répartis sur ses cinq sites</w:t>
      </w:r>
      <w:r w:rsidR="0004576C">
        <w:t xml:space="preserve"> : </w:t>
      </w:r>
      <w:r>
        <w:t xml:space="preserve">Trémery, Metz, Charleville, Mulhouse et Sochaux. </w:t>
      </w:r>
    </w:p>
    <w:p w14:paraId="0A9639B0" w14:textId="77777777" w:rsidR="00B47C99" w:rsidRPr="005C2527" w:rsidRDefault="00B47C99" w:rsidP="00761F0E">
      <w:pPr>
        <w:pStyle w:val="SDatePlace"/>
        <w:spacing w:after="0"/>
        <w:rPr>
          <w:rFonts w:eastAsia="Times New Roman"/>
          <w:szCs w:val="24"/>
        </w:rPr>
      </w:pPr>
    </w:p>
    <w:p w14:paraId="3159EBEE" w14:textId="2B78A23C" w:rsidR="0078538B" w:rsidRDefault="003F0B8F">
      <w:pPr>
        <w:pStyle w:val="SDatePlace"/>
        <w:spacing w:after="0"/>
        <w:jc w:val="both"/>
      </w:pPr>
      <w:r>
        <w:t xml:space="preserve">Alors que Stellantis continue à investir dans son avenir électrifié, sa transformation est portée par une co-construction avec les organisations syndicales et les partenaires sociaux français afin de garantir la pérennité de ses activités de production. Stellantis accompagne ses collaborateurs dans toutes les étapes de ce parcours </w:t>
      </w:r>
      <w:r w:rsidR="0004576C">
        <w:lastRenderedPageBreak/>
        <w:t xml:space="preserve">grâce à des programmes de formation continue et </w:t>
      </w:r>
      <w:r>
        <w:t>de développement de</w:t>
      </w:r>
      <w:r w:rsidR="0004576C">
        <w:t>s</w:t>
      </w:r>
      <w:r>
        <w:t xml:space="preserve"> compétences. </w:t>
      </w:r>
    </w:p>
    <w:p w14:paraId="088E8663" w14:textId="5EC64154" w:rsidR="00BF2BEC" w:rsidRDefault="00BF2BEC">
      <w:pPr>
        <w:pStyle w:val="SDatePlace"/>
        <w:spacing w:after="0"/>
        <w:jc w:val="both"/>
      </w:pPr>
    </w:p>
    <w:p w14:paraId="76C52AA6" w14:textId="213DA605" w:rsidR="00BF2BEC" w:rsidRPr="00962D51" w:rsidRDefault="00BF2BEC" w:rsidP="00962D51">
      <w:pPr>
        <w:pStyle w:val="SDatePlace"/>
        <w:spacing w:after="0"/>
        <w:jc w:val="both"/>
        <w:rPr>
          <w:rFonts w:eastAsia="Times New Roman"/>
          <w:i/>
          <w:iCs/>
          <w:szCs w:val="24"/>
        </w:rPr>
      </w:pPr>
      <w:r w:rsidRPr="00962D51">
        <w:rPr>
          <w:rFonts w:eastAsia="Times New Roman"/>
          <w:i/>
          <w:iCs/>
          <w:szCs w:val="24"/>
        </w:rPr>
        <w:t>Les documents de présentation de l</w:t>
      </w:r>
      <w:r w:rsidR="0061797E">
        <w:rPr>
          <w:rFonts w:eastAsia="Times New Roman"/>
          <w:i/>
          <w:iCs/>
          <w:szCs w:val="24"/>
        </w:rPr>
        <w:t>’</w:t>
      </w:r>
      <w:r w:rsidRPr="00962D51">
        <w:rPr>
          <w:rFonts w:eastAsia="Times New Roman"/>
          <w:i/>
          <w:iCs/>
          <w:szCs w:val="24"/>
        </w:rPr>
        <w:t>événement seront disponibles dans la section Investisseurs du site Web de Stellantis à l</w:t>
      </w:r>
      <w:r w:rsidR="0061797E">
        <w:rPr>
          <w:rFonts w:eastAsia="Times New Roman"/>
          <w:i/>
          <w:iCs/>
          <w:szCs w:val="24"/>
        </w:rPr>
        <w:t>’</w:t>
      </w:r>
      <w:r w:rsidRPr="00962D51">
        <w:rPr>
          <w:rFonts w:eastAsia="Times New Roman"/>
          <w:i/>
          <w:iCs/>
          <w:szCs w:val="24"/>
        </w:rPr>
        <w:t xml:space="preserve">adresse </w:t>
      </w:r>
      <w:hyperlink r:id="rId12" w:history="1">
        <w:r w:rsidR="00BF4280" w:rsidRPr="00BF4280">
          <w:rPr>
            <w:rStyle w:val="Hyperlink"/>
            <w:rFonts w:eastAsia="Times New Roman"/>
            <w:i/>
            <w:iCs/>
            <w:szCs w:val="24"/>
          </w:rPr>
          <w:t>www.stellantis.com/fr</w:t>
        </w:r>
      </w:hyperlink>
    </w:p>
    <w:p w14:paraId="10ADDF0C" w14:textId="77777777" w:rsidR="007B25D4" w:rsidRDefault="007B25D4" w:rsidP="00761F0E">
      <w:pPr>
        <w:pStyle w:val="SDatePlace"/>
        <w:spacing w:after="0"/>
        <w:rPr>
          <w:rFonts w:eastAsia="Times New Roman"/>
          <w:szCs w:val="24"/>
        </w:rPr>
      </w:pPr>
    </w:p>
    <w:p w14:paraId="6451C65E" w14:textId="4DF4AEA3" w:rsidR="00E06510" w:rsidRDefault="00E047DA" w:rsidP="00962D51">
      <w:pPr>
        <w:pStyle w:val="SDatePlace"/>
        <w:spacing w:after="0"/>
        <w:jc w:val="center"/>
      </w:pPr>
      <w:r>
        <w:t># # #</w:t>
      </w:r>
    </w:p>
    <w:p w14:paraId="29406EA6" w14:textId="77777777" w:rsidR="00BF4280" w:rsidRDefault="00BF4280" w:rsidP="000F2FE8">
      <w:pPr>
        <w:pStyle w:val="SDatePlace"/>
        <w:rPr>
          <w:b/>
          <w:color w:val="243782" w:themeColor="accent1"/>
          <w:szCs w:val="24"/>
        </w:rPr>
      </w:pPr>
    </w:p>
    <w:p w14:paraId="3033EC60" w14:textId="27E1ABA6" w:rsidR="00B96799" w:rsidRPr="00595FF8" w:rsidRDefault="00B96799" w:rsidP="000F2FE8">
      <w:pPr>
        <w:pStyle w:val="SDatePlace"/>
        <w:rPr>
          <w:b/>
          <w:color w:val="243782" w:themeColor="accent1"/>
          <w:szCs w:val="24"/>
        </w:rPr>
      </w:pPr>
      <w:r>
        <w:rPr>
          <w:b/>
          <w:color w:val="243782" w:themeColor="accent1"/>
          <w:szCs w:val="24"/>
        </w:rPr>
        <w:t>À propos de Stellantis</w:t>
      </w:r>
    </w:p>
    <w:p w14:paraId="796AEE32" w14:textId="77777777" w:rsidR="00C43FDC" w:rsidRPr="00962D51" w:rsidRDefault="00C43FDC" w:rsidP="00C43FDC">
      <w:pPr>
        <w:rPr>
          <w:rFonts w:eastAsia="Encode Sans" w:cs="Encode Sans"/>
          <w:i/>
          <w:color w:val="222222"/>
          <w:szCs w:val="28"/>
          <w:highlight w:val="white"/>
        </w:rPr>
      </w:pPr>
      <w:bookmarkStart w:id="0" w:name="_Hlk97712532"/>
      <w:r w:rsidRPr="00962D51">
        <w:rPr>
          <w:i/>
          <w:color w:val="222222"/>
          <w:szCs w:val="28"/>
        </w:rPr>
        <w:t xml:space="preserve">Stellantis N.V. (NYSE / MTA / Euronext Paris : STLA) fait partie des principaux constructeurs automobiles et fournisseurs de services de mobilité internationaux. Abarth, Alfa Romeo, Chrysler, Citroën, Dodge, DS Automobiles, Fiat, Jeep®, Lancia, Maserati, Opel, Peugeot, Ram, Vauxhall, Free2move et Leasys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3" w:history="1">
        <w:r w:rsidRPr="00962D51">
          <w:rPr>
            <w:rStyle w:val="Hyperlink"/>
            <w:i/>
            <w:szCs w:val="28"/>
          </w:rPr>
          <w:t>www.stellantis.com/fr.</w:t>
        </w:r>
      </w:hyperlink>
    </w:p>
    <w:tbl>
      <w:tblPr>
        <w:tblStyle w:val="TableGrid"/>
        <w:tblW w:w="49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3"/>
        <w:gridCol w:w="1718"/>
        <w:gridCol w:w="532"/>
        <w:gridCol w:w="1400"/>
        <w:gridCol w:w="522"/>
        <w:gridCol w:w="1377"/>
        <w:gridCol w:w="537"/>
        <w:gridCol w:w="1033"/>
        <w:gridCol w:w="680"/>
      </w:tblGrid>
      <w:tr w:rsidR="00727B77" w:rsidRPr="00E80AFA" w14:paraId="61D31CDB" w14:textId="77777777" w:rsidTr="00962D51">
        <w:trPr>
          <w:gridAfter w:val="1"/>
          <w:wAfter w:w="680" w:type="dxa"/>
          <w:trHeight w:val="729"/>
        </w:trPr>
        <w:tc>
          <w:tcPr>
            <w:tcW w:w="543" w:type="dxa"/>
            <w:vAlign w:val="center"/>
          </w:tcPr>
          <w:p w14:paraId="4FB1B200" w14:textId="77777777" w:rsidR="00727B77" w:rsidRPr="00E80AFA" w:rsidRDefault="00727B77" w:rsidP="00F1139C">
            <w:pPr>
              <w:spacing w:after="0"/>
              <w:jc w:val="left"/>
              <w:rPr>
                <w:color w:val="243782" w:themeColor="text2"/>
                <w:sz w:val="22"/>
                <w:szCs w:val="22"/>
              </w:rPr>
            </w:pPr>
            <w:r w:rsidRPr="00E80AFA">
              <w:rPr>
                <w:noProof/>
                <w:color w:val="243782" w:themeColor="text2"/>
                <w:sz w:val="22"/>
                <w:szCs w:val="22"/>
                <w:lang w:eastAsia="fr-FR"/>
              </w:rPr>
              <w:drawing>
                <wp:anchor distT="0" distB="0" distL="114300" distR="114300" simplePos="0" relativeHeight="251663364" behindDoc="0" locked="0" layoutInCell="1" allowOverlap="1" wp14:anchorId="7B06F1EB" wp14:editId="547BC7F2">
                  <wp:simplePos x="0" y="0"/>
                  <wp:positionH relativeFrom="column">
                    <wp:posOffset>-417830</wp:posOffset>
                  </wp:positionH>
                  <wp:positionV relativeFrom="paragraph">
                    <wp:posOffset>-79375</wp:posOffset>
                  </wp:positionV>
                  <wp:extent cx="303530" cy="292735"/>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18" w:type="dxa"/>
          </w:tcPr>
          <w:p w14:paraId="6F068BA1" w14:textId="77777777" w:rsidR="00727B77" w:rsidRPr="00055276" w:rsidRDefault="00445090" w:rsidP="00F1139C">
            <w:pPr>
              <w:spacing w:before="120" w:after="0"/>
              <w:jc w:val="left"/>
              <w:rPr>
                <w:color w:val="243782" w:themeColor="text2"/>
                <w:sz w:val="22"/>
                <w:szCs w:val="22"/>
              </w:rPr>
            </w:pPr>
            <w:hyperlink r:id="rId15" w:history="1">
              <w:r w:rsidR="00727B77" w:rsidRPr="00055276">
                <w:rPr>
                  <w:rStyle w:val="Hyperlink"/>
                  <w:sz w:val="22"/>
                  <w:szCs w:val="22"/>
                </w:rPr>
                <w:t>@Stellantis</w:t>
              </w:r>
            </w:hyperlink>
          </w:p>
        </w:tc>
        <w:tc>
          <w:tcPr>
            <w:tcW w:w="532" w:type="dxa"/>
            <w:vAlign w:val="center"/>
          </w:tcPr>
          <w:p w14:paraId="69279353" w14:textId="77777777" w:rsidR="00727B77" w:rsidRPr="00E80AFA" w:rsidRDefault="00727B77" w:rsidP="00F1139C">
            <w:pPr>
              <w:spacing w:after="0"/>
              <w:jc w:val="left"/>
              <w:rPr>
                <w:color w:val="243782" w:themeColor="text2"/>
                <w:sz w:val="22"/>
                <w:szCs w:val="22"/>
              </w:rPr>
            </w:pPr>
            <w:r w:rsidRPr="00E80AFA">
              <w:rPr>
                <w:noProof/>
                <w:color w:val="243782" w:themeColor="text2"/>
                <w:sz w:val="22"/>
                <w:szCs w:val="22"/>
                <w:lang w:eastAsia="fr-FR"/>
              </w:rPr>
              <w:drawing>
                <wp:anchor distT="0" distB="0" distL="114300" distR="114300" simplePos="0" relativeHeight="251660292" behindDoc="1" locked="0" layoutInCell="1" allowOverlap="1" wp14:anchorId="2BB26742" wp14:editId="7630085E">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00" w:type="dxa"/>
          </w:tcPr>
          <w:p w14:paraId="2E4BD076" w14:textId="77777777" w:rsidR="00727B77" w:rsidRPr="00055276" w:rsidRDefault="00445090" w:rsidP="00F1139C">
            <w:pPr>
              <w:spacing w:before="120" w:after="0"/>
              <w:jc w:val="left"/>
              <w:rPr>
                <w:color w:val="243782" w:themeColor="text2"/>
                <w:sz w:val="22"/>
                <w:szCs w:val="22"/>
              </w:rPr>
            </w:pPr>
            <w:hyperlink r:id="rId17" w:history="1">
              <w:r w:rsidR="00727B77" w:rsidRPr="00055276">
                <w:rPr>
                  <w:rStyle w:val="Hyperlink"/>
                  <w:sz w:val="22"/>
                  <w:szCs w:val="22"/>
                </w:rPr>
                <w:t>Stellantis</w:t>
              </w:r>
            </w:hyperlink>
          </w:p>
        </w:tc>
        <w:tc>
          <w:tcPr>
            <w:tcW w:w="522" w:type="dxa"/>
            <w:vAlign w:val="center"/>
          </w:tcPr>
          <w:p w14:paraId="2D891BA1" w14:textId="77777777" w:rsidR="00727B77" w:rsidRPr="00E80AFA" w:rsidRDefault="00727B77" w:rsidP="00F1139C">
            <w:pPr>
              <w:spacing w:after="0"/>
              <w:jc w:val="left"/>
              <w:rPr>
                <w:color w:val="243782" w:themeColor="text2"/>
                <w:sz w:val="22"/>
                <w:szCs w:val="22"/>
              </w:rPr>
            </w:pPr>
            <w:r w:rsidRPr="00E80AFA">
              <w:rPr>
                <w:noProof/>
                <w:color w:val="243782" w:themeColor="text2"/>
                <w:sz w:val="22"/>
                <w:szCs w:val="22"/>
                <w:lang w:eastAsia="fr-FR"/>
              </w:rPr>
              <w:drawing>
                <wp:anchor distT="0" distB="0" distL="114300" distR="114300" simplePos="0" relativeHeight="251661316" behindDoc="1" locked="0" layoutInCell="1" allowOverlap="1" wp14:anchorId="2BBE0399" wp14:editId="339CCB64">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77" w:type="dxa"/>
          </w:tcPr>
          <w:p w14:paraId="7FF5C461" w14:textId="77777777" w:rsidR="00727B77" w:rsidRPr="00055276" w:rsidRDefault="00445090" w:rsidP="00F1139C">
            <w:pPr>
              <w:spacing w:before="120" w:after="0"/>
              <w:jc w:val="left"/>
              <w:rPr>
                <w:color w:val="243782" w:themeColor="text2"/>
                <w:sz w:val="22"/>
                <w:szCs w:val="22"/>
              </w:rPr>
            </w:pPr>
            <w:hyperlink r:id="rId19" w:history="1">
              <w:r w:rsidR="00727B77" w:rsidRPr="00055276">
                <w:rPr>
                  <w:rStyle w:val="Hyperlink"/>
                  <w:rFonts w:ascii="Encode Sans ExpandedLight" w:eastAsia="Calibri" w:hAnsi="Encode Sans ExpandedLight" w:cs="Times New Roman"/>
                  <w:sz w:val="22"/>
                </w:rPr>
                <w:t>Stellantis</w:t>
              </w:r>
            </w:hyperlink>
          </w:p>
        </w:tc>
        <w:tc>
          <w:tcPr>
            <w:tcW w:w="537" w:type="dxa"/>
            <w:vAlign w:val="center"/>
          </w:tcPr>
          <w:p w14:paraId="127BB5BA" w14:textId="77777777" w:rsidR="00727B77" w:rsidRPr="00E80AFA" w:rsidRDefault="00727B77" w:rsidP="00F1139C">
            <w:pPr>
              <w:spacing w:after="0"/>
              <w:jc w:val="left"/>
              <w:rPr>
                <w:color w:val="243782" w:themeColor="text2"/>
                <w:sz w:val="22"/>
                <w:szCs w:val="22"/>
              </w:rPr>
            </w:pPr>
            <w:r w:rsidRPr="00E80AFA">
              <w:rPr>
                <w:noProof/>
                <w:color w:val="243782" w:themeColor="text2"/>
                <w:sz w:val="22"/>
                <w:szCs w:val="22"/>
                <w:lang w:eastAsia="fr-FR"/>
              </w:rPr>
              <w:drawing>
                <wp:anchor distT="0" distB="0" distL="114300" distR="114300" simplePos="0" relativeHeight="251662340" behindDoc="1" locked="0" layoutInCell="1" allowOverlap="1" wp14:anchorId="213387C2" wp14:editId="50EBDB71">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33" w:type="dxa"/>
          </w:tcPr>
          <w:p w14:paraId="2EF7570B" w14:textId="77777777" w:rsidR="00727B77" w:rsidRPr="00055276" w:rsidRDefault="00445090" w:rsidP="00F1139C">
            <w:pPr>
              <w:spacing w:before="120" w:after="0"/>
              <w:jc w:val="left"/>
              <w:rPr>
                <w:color w:val="243782" w:themeColor="text2"/>
                <w:sz w:val="22"/>
                <w:szCs w:val="22"/>
              </w:rPr>
            </w:pPr>
            <w:hyperlink r:id="rId21" w:history="1">
              <w:r w:rsidR="00727B77" w:rsidRPr="00055276">
                <w:rPr>
                  <w:rStyle w:val="Hyperlink"/>
                  <w:rFonts w:ascii="Encode Sans ExpandedLight" w:eastAsia="Calibri" w:hAnsi="Encode Sans ExpandedLight" w:cs="Times New Roman"/>
                  <w:sz w:val="22"/>
                </w:rPr>
                <w:t>Stellantis</w:t>
              </w:r>
            </w:hyperlink>
          </w:p>
        </w:tc>
      </w:tr>
      <w:bookmarkEnd w:id="0"/>
      <w:tr w:rsidR="00E047DA" w:rsidRPr="00336713" w14:paraId="37BC0A26" w14:textId="77777777" w:rsidTr="00962D51">
        <w:tblPrEx>
          <w:tblCellMar>
            <w:right w:w="57" w:type="dxa"/>
          </w:tblCellMar>
        </w:tblPrEx>
        <w:trPr>
          <w:trHeight w:val="2043"/>
        </w:trPr>
        <w:tc>
          <w:tcPr>
            <w:tcW w:w="8342" w:type="dxa"/>
            <w:gridSpan w:val="9"/>
          </w:tcPr>
          <w:p w14:paraId="5D32537F" w14:textId="77777777" w:rsidR="00E047DA" w:rsidRDefault="00E047DA" w:rsidP="007B66E9">
            <w:r>
              <w:rPr>
                <w:noProof/>
              </w:rPr>
              <mc:AlternateContent>
                <mc:Choice Requires="wps">
                  <w:drawing>
                    <wp:inline distT="0" distB="0" distL="0" distR="0" wp14:anchorId="43DE29E6" wp14:editId="3CFA2B14">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oel="http://schemas.microsoft.com/office/2019/extlst"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85B9E8D">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w14:anchorId="49045036">
                      <v:path arrowok="t" o:connecttype="custom" o:connectlocs="401492,61913;0,61913;32949,0;432000,0;401492,61913" o:connectangles="0,0,0,0,0"/>
                      <w10:anchorlock/>
                    </v:shape>
                  </w:pict>
                </mc:Fallback>
              </mc:AlternateContent>
            </w:r>
          </w:p>
          <w:p w14:paraId="6EBA2585" w14:textId="77777777" w:rsidR="00E047DA" w:rsidRPr="0085397B" w:rsidRDefault="00E047DA" w:rsidP="007B66E9">
            <w:pPr>
              <w:pStyle w:val="SContact-Title"/>
            </w:pPr>
            <w:bookmarkStart w:id="1" w:name="_Hlk61784883"/>
            <w:r>
              <w:t>Pour plus d’informations, merci de contacter :</w:t>
            </w:r>
          </w:p>
          <w:sdt>
            <w:sdtPr>
              <w:rPr>
                <w:sz w:val="20"/>
              </w:rPr>
              <w:id w:val="143632974"/>
              <w:placeholder>
                <w:docPart w:val="4B83B30B04204A40B245B64540944D82"/>
              </w:placeholder>
            </w:sdtPr>
            <w:sdtEndPr/>
            <w:sdtContent>
              <w:p w14:paraId="280ECF2E" w14:textId="77777777" w:rsidR="003F0EAF" w:rsidRPr="00250B43" w:rsidRDefault="00445090" w:rsidP="003F0EAF">
                <w:pPr>
                  <w:pStyle w:val="SContact-Sendersinfo"/>
                  <w:rPr>
                    <w:rFonts w:ascii="Encode Sans ExpandedLight" w:hAnsi="Encode Sans ExpandedLight"/>
                    <w:sz w:val="20"/>
                    <w:szCs w:val="20"/>
                  </w:rPr>
                </w:pPr>
                <w:sdt>
                  <w:sdtPr>
                    <w:rPr>
                      <w:sz w:val="20"/>
                      <w:szCs w:val="20"/>
                    </w:rPr>
                    <w:id w:val="-1719962335"/>
                    <w:placeholder>
                      <w:docPart w:val="15B0FECB78AB4A91AE2997B4DF9E5B7E"/>
                    </w:placeholder>
                  </w:sdtPr>
                  <w:sdtEndPr/>
                  <w:sdtContent>
                    <w:proofErr w:type="spellStart"/>
                    <w:r w:rsidR="00336713" w:rsidRPr="00250B43">
                      <w:rPr>
                        <w:sz w:val="20"/>
                        <w:szCs w:val="20"/>
                      </w:rPr>
                      <w:t>Fernão</w:t>
                    </w:r>
                    <w:proofErr w:type="spellEnd"/>
                    <w:r w:rsidR="00336713" w:rsidRPr="00250B43">
                      <w:rPr>
                        <w:sz w:val="20"/>
                        <w:szCs w:val="20"/>
                      </w:rPr>
                      <w:t xml:space="preserve"> </w:t>
                    </w:r>
                    <w:sdt>
                      <w:sdtPr>
                        <w:rPr>
                          <w:sz w:val="20"/>
                          <w:szCs w:val="20"/>
                        </w:rPr>
                        <w:id w:val="743996128"/>
                        <w:placeholder>
                          <w:docPart w:val="F26A7D7C8EB1413691F360BAB99D6632"/>
                        </w:placeholder>
                      </w:sdtPr>
                      <w:sdtEndPr/>
                      <w:sdtContent>
                        <w:sdt>
                          <w:sdtPr>
                            <w:rPr>
                              <w:sz w:val="20"/>
                              <w:szCs w:val="20"/>
                            </w:rPr>
                            <w:id w:val="1175080926"/>
                            <w:placeholder>
                              <w:docPart w:val="1A4A33E458754550A47E8CF7CA7D4F17"/>
                            </w:placeholder>
                          </w:sdtPr>
                          <w:sdtEndPr/>
                          <w:sdtContent>
                            <w:r w:rsidR="00336713" w:rsidRPr="00250B43">
                              <w:rPr>
                                <w:sz w:val="20"/>
                                <w:szCs w:val="20"/>
                              </w:rPr>
                              <w:t>SILVEIRA</w:t>
                            </w:r>
                          </w:sdtContent>
                        </w:sdt>
                      </w:sdtContent>
                    </w:sdt>
                    <w:r w:rsidR="00336713" w:rsidRPr="00250B43">
                      <w:rPr>
                        <w:sz w:val="20"/>
                        <w:szCs w:val="20"/>
                      </w:rPr>
                      <w:t xml:space="preserve">  </w:t>
                    </w:r>
                    <w:sdt>
                      <w:sdtPr>
                        <w:rPr>
                          <w:rFonts w:ascii="Encode Sans ExpandedLight" w:hAnsi="Encode Sans ExpandedLight"/>
                          <w:sz w:val="20"/>
                          <w:szCs w:val="20"/>
                        </w:rPr>
                        <w:id w:val="983514247"/>
                        <w:placeholder>
                          <w:docPart w:val="6FC73F97903047D0AD065F99ABB816C1"/>
                        </w:placeholder>
                      </w:sdtPr>
                      <w:sdtEndPr/>
                      <w:sdtContent>
                        <w:r w:rsidR="00336713" w:rsidRPr="00250B43">
                          <w:rPr>
                            <w:rFonts w:ascii="Encode Sans ExpandedLight" w:hAnsi="Encode Sans ExpandedLight"/>
                            <w:sz w:val="20"/>
                            <w:szCs w:val="20"/>
                          </w:rPr>
                          <w:t>+31 6 43 25 43 41 – fernao.silveira@stellantis.com</w:t>
                        </w:r>
                      </w:sdtContent>
                    </w:sdt>
                    <w:r w:rsidR="00336713" w:rsidRPr="00250B43">
                      <w:rPr>
                        <w:rFonts w:ascii="Encode Sans ExpandedLight" w:hAnsi="Encode Sans ExpandedLight"/>
                        <w:sz w:val="20"/>
                        <w:szCs w:val="20"/>
                      </w:rPr>
                      <w:br/>
                    </w:r>
                    <w:r w:rsidR="00336713" w:rsidRPr="00250B43">
                      <w:rPr>
                        <w:sz w:val="20"/>
                        <w:szCs w:val="20"/>
                      </w:rPr>
                      <w:t>Valérie GILLOT</w:t>
                    </w:r>
                  </w:sdtContent>
                </w:sdt>
                <w:r w:rsidR="00336713" w:rsidRPr="00250B43">
                  <w:rPr>
                    <w:sz w:val="20"/>
                    <w:szCs w:val="20"/>
                  </w:rPr>
                  <w:t xml:space="preserve"> </w:t>
                </w:r>
                <w:sdt>
                  <w:sdtPr>
                    <w:rPr>
                      <w:rFonts w:ascii="Encode Sans ExpandedLight" w:hAnsi="Encode Sans ExpandedLight"/>
                      <w:sz w:val="20"/>
                      <w:szCs w:val="20"/>
                    </w:rPr>
                    <w:id w:val="-1037958382"/>
                    <w:placeholder>
                      <w:docPart w:val="DC0B91BAEF0841719C91B6076AE680AD"/>
                    </w:placeholder>
                  </w:sdtPr>
                  <w:sdtEndPr/>
                  <w:sdtContent>
                    <w:r w:rsidR="00336713" w:rsidRPr="00250B43">
                      <w:rPr>
                        <w:rFonts w:ascii="Encode Sans ExpandedLight" w:hAnsi="Encode Sans ExpandedLight"/>
                        <w:sz w:val="20"/>
                        <w:szCs w:val="20"/>
                      </w:rPr>
                      <w:t>+ 33 6 83 92 92 96 - valerie.gillot@stellantis.com</w:t>
                    </w:r>
                  </w:sdtContent>
                </w:sdt>
              </w:p>
              <w:p w14:paraId="5B2EEBC7" w14:textId="0A5BB5BC" w:rsidR="003F0EAF" w:rsidRPr="002E25EB" w:rsidRDefault="00445090" w:rsidP="003F0EAF">
                <w:pPr>
                  <w:pStyle w:val="SContact-Sendersinfo"/>
                  <w:rPr>
                    <w:rFonts w:ascii="Encode Sans ExpandedLight" w:hAnsi="Encode Sans ExpandedLight"/>
                    <w:sz w:val="20"/>
                    <w:szCs w:val="20"/>
                  </w:rPr>
                </w:pPr>
                <w:sdt>
                  <w:sdtPr>
                    <w:rPr>
                      <w:sz w:val="20"/>
                      <w:szCs w:val="20"/>
                    </w:rPr>
                    <w:id w:val="1282529045"/>
                    <w:placeholder>
                      <w:docPart w:val="D09891699327411FB1DC8A58E3E65E7F"/>
                    </w:placeholder>
                  </w:sdtPr>
                  <w:sdtEndPr/>
                  <w:sdtContent>
                    <w:r w:rsidR="00336713">
                      <w:rPr>
                        <w:sz w:val="20"/>
                        <w:szCs w:val="20"/>
                      </w:rPr>
                      <w:t>Nathalie ROUSSEL</w:t>
                    </w:r>
                    <w:r w:rsidR="00336713">
                      <w:rPr>
                        <w:rFonts w:ascii="Cambria" w:hAnsi="Cambria"/>
                        <w:sz w:val="20"/>
                        <w:szCs w:val="20"/>
                      </w:rPr>
                      <w:t> </w:t>
                    </w:r>
                  </w:sdtContent>
                </w:sdt>
                <w:r w:rsidR="00336713">
                  <w:rPr>
                    <w:sz w:val="20"/>
                    <w:szCs w:val="20"/>
                  </w:rPr>
                  <w:t xml:space="preserve"> </w:t>
                </w:r>
                <w:sdt>
                  <w:sdtPr>
                    <w:rPr>
                      <w:rFonts w:ascii="Encode Sans ExpandedLight" w:hAnsi="Encode Sans ExpandedLight"/>
                      <w:sz w:val="20"/>
                      <w:szCs w:val="20"/>
                    </w:rPr>
                    <w:id w:val="-878779968"/>
                    <w:placeholder>
                      <w:docPart w:val="762709A4A4E14515B6C9C1F9E07C44B2"/>
                    </w:placeholder>
                  </w:sdtPr>
                  <w:sdtEndPr/>
                  <w:sdtContent>
                    <w:r w:rsidR="00336713">
                      <w:rPr>
                        <w:rFonts w:ascii="Encode Sans ExpandedLight" w:hAnsi="Encode Sans ExpandedLight"/>
                        <w:sz w:val="20"/>
                        <w:szCs w:val="20"/>
                      </w:rPr>
                      <w:t xml:space="preserve">+ 33 6 87 77 41 82 – </w:t>
                    </w:r>
                    <w:hyperlink r:id="rId22" w:history="1">
                      <w:r w:rsidR="00336713">
                        <w:rPr>
                          <w:rStyle w:val="Hyperlink"/>
                          <w:rFonts w:ascii="Encode Sans ExpandedLight" w:hAnsi="Encode Sans ExpandedLight"/>
                          <w:sz w:val="20"/>
                          <w:szCs w:val="20"/>
                        </w:rPr>
                        <w:t>nathalie.roussel@stellantis.com</w:t>
                      </w:r>
                    </w:hyperlink>
                  </w:sdtContent>
                </w:sdt>
              </w:p>
              <w:p w14:paraId="321829DB" w14:textId="7039D5EC" w:rsidR="003F0EAF" w:rsidRPr="00834878" w:rsidRDefault="007569CC" w:rsidP="003F0EAF">
                <w:pPr>
                  <w:pStyle w:val="SContact-Sendersinfo"/>
                  <w:rPr>
                    <w:sz w:val="20"/>
                  </w:rPr>
                </w:pPr>
                <w:r w:rsidRPr="00962D51">
                  <w:rPr>
                    <w:sz w:val="20"/>
                    <w:szCs w:val="20"/>
                  </w:rPr>
                  <w:t>Erika LOUIS-ROY</w:t>
                </w:r>
                <w:r>
                  <w:rPr>
                    <w:rFonts w:ascii="Encode Sans ExpandedLight" w:hAnsi="Encode Sans ExpandedLight"/>
                    <w:b/>
                    <w:bCs/>
                    <w:sz w:val="20"/>
                    <w:szCs w:val="20"/>
                  </w:rPr>
                  <w:t xml:space="preserve"> </w:t>
                </w:r>
                <w:r>
                  <w:rPr>
                    <w:rFonts w:ascii="Encode Sans ExpandedLight" w:hAnsi="Encode Sans ExpandedLight"/>
                    <w:sz w:val="20"/>
                    <w:szCs w:val="20"/>
                  </w:rPr>
                  <w:t>+33 6 80 45 31 36 – erika.louisroy@stellantis.com</w:t>
                </w:r>
              </w:p>
            </w:sdtContent>
          </w:sdt>
          <w:p w14:paraId="5D76F5AE" w14:textId="040D729A" w:rsidR="00E047DA" w:rsidRPr="00834878" w:rsidRDefault="00E047DA" w:rsidP="007B66E9">
            <w:pPr>
              <w:pStyle w:val="SFooter-Emailwebsite"/>
            </w:pPr>
            <w:r>
              <w:t>communications@stellantis.com</w:t>
            </w:r>
            <w:r>
              <w:br/>
              <w:t>www.stellantis.com</w:t>
            </w:r>
            <w:bookmarkEnd w:id="1"/>
          </w:p>
        </w:tc>
      </w:tr>
    </w:tbl>
    <w:p w14:paraId="36C26143" w14:textId="1127EC4E" w:rsidR="00BF4280" w:rsidRDefault="00BF4280">
      <w:pPr>
        <w:spacing w:after="0"/>
        <w:jc w:val="left"/>
      </w:pPr>
    </w:p>
    <w:p w14:paraId="43A11985" w14:textId="77777777" w:rsidR="00BF4280" w:rsidRDefault="00BF4280">
      <w:pPr>
        <w:spacing w:after="0"/>
        <w:jc w:val="left"/>
      </w:pPr>
      <w:r>
        <w:br w:type="page"/>
      </w:r>
    </w:p>
    <w:p w14:paraId="51A71044" w14:textId="77777777" w:rsidR="00F25553" w:rsidRPr="00834878" w:rsidRDefault="00F25553">
      <w:pPr>
        <w:spacing w:after="0"/>
        <w:jc w:val="left"/>
      </w:pPr>
    </w:p>
    <w:p w14:paraId="014E65AE" w14:textId="77777777" w:rsidR="00BF4280" w:rsidRDefault="00BF4280" w:rsidP="00BF4280">
      <w:pPr>
        <w:spacing w:after="0"/>
        <w:rPr>
          <w:rFonts w:ascii="Arial" w:hAnsi="Arial"/>
          <w:b/>
          <w:bCs/>
          <w:i/>
          <w:iCs/>
          <w:color w:val="243782"/>
          <w:sz w:val="18"/>
          <w:szCs w:val="18"/>
          <w:lang w:eastAsia="fr-FR"/>
        </w:rPr>
      </w:pPr>
      <w:r w:rsidRPr="00D70442">
        <w:rPr>
          <w:rFonts w:ascii="Arial" w:hAnsi="Arial"/>
          <w:b/>
          <w:bCs/>
          <w:i/>
          <w:iCs/>
          <w:color w:val="243782"/>
          <w:sz w:val="18"/>
          <w:szCs w:val="18"/>
          <w:lang w:eastAsia="fr-FR"/>
        </w:rPr>
        <w:t>DÉCLARATIONS PROSPECTIVES</w:t>
      </w:r>
    </w:p>
    <w:p w14:paraId="379F877F" w14:textId="77777777" w:rsidR="00BF4280" w:rsidRPr="00933B2E" w:rsidRDefault="00BF4280" w:rsidP="00BF4280">
      <w:pPr>
        <w:spacing w:after="0"/>
        <w:rPr>
          <w:rFonts w:ascii="Arial" w:eastAsia="Yu Mincho" w:hAnsi="Arial" w:cs="Arial"/>
          <w:b/>
          <w:bCs/>
          <w:i/>
          <w:iCs/>
          <w:color w:val="243782"/>
          <w:sz w:val="18"/>
          <w:szCs w:val="18"/>
        </w:rPr>
      </w:pPr>
    </w:p>
    <w:p w14:paraId="7E1DF152" w14:textId="77777777" w:rsidR="00BF4280" w:rsidRPr="00E20B9D" w:rsidRDefault="00BF4280" w:rsidP="00BF4280">
      <w:pPr>
        <w:spacing w:after="0"/>
        <w:rPr>
          <w:rFonts w:ascii="Arial" w:hAnsi="Arial" w:cs="Arial"/>
          <w:i/>
          <w:iCs/>
          <w:color w:val="242424"/>
          <w:sz w:val="18"/>
          <w:szCs w:val="18"/>
          <w:shd w:val="clear" w:color="auto" w:fill="FFFFFF"/>
        </w:rPr>
      </w:pPr>
      <w:r w:rsidRPr="00E20B9D">
        <w:rPr>
          <w:rFonts w:ascii="Arial" w:hAnsi="Arial" w:cs="Arial"/>
          <w:i/>
          <w:iCs/>
          <w:color w:val="242424"/>
          <w:sz w:val="18"/>
          <w:szCs w:val="18"/>
          <w:shd w:val="clear" w:color="auto" w:fill="FFFFFF"/>
        </w:rPr>
        <w:t xml:space="preserve">Cette communication contient des déclarations prospectives. En particulier, les énoncés concernant les événements futurs et les </w:t>
      </w:r>
      <w:r w:rsidRPr="00E20B9D">
        <w:rPr>
          <w:rFonts w:ascii="Arial" w:hAnsi="Arial" w:cs="Arial"/>
          <w:i/>
          <w:iCs/>
          <w:color w:val="242424"/>
          <w:sz w:val="18"/>
          <w:szCs w:val="18"/>
        </w:rPr>
        <w:t xml:space="preserve">estimations de </w:t>
      </w:r>
      <w:r w:rsidRPr="00E20B9D">
        <w:rPr>
          <w:rFonts w:ascii="Arial" w:hAnsi="Arial" w:cs="Arial"/>
          <w:i/>
          <w:iCs/>
          <w:color w:val="242424"/>
          <w:sz w:val="18"/>
          <w:szCs w:val="18"/>
          <w:shd w:val="clear" w:color="auto" w:fill="FFFFFF"/>
        </w:rPr>
        <w:t xml:space="preserve">résultats des </w:t>
      </w:r>
      <w:r w:rsidRPr="00E20B9D">
        <w:rPr>
          <w:rFonts w:ascii="Arial" w:hAnsi="Arial" w:cs="Arial"/>
          <w:i/>
          <w:iCs/>
          <w:color w:val="242424"/>
          <w:sz w:val="18"/>
          <w:szCs w:val="18"/>
        </w:rPr>
        <w:t>activités</w:t>
      </w:r>
      <w:r w:rsidRPr="00E20B9D">
        <w:rPr>
          <w:rFonts w:ascii="Arial" w:hAnsi="Arial" w:cs="Arial"/>
          <w:i/>
          <w:iCs/>
          <w:color w:val="242424"/>
          <w:sz w:val="18"/>
          <w:szCs w:val="18"/>
          <w:shd w:val="clear" w:color="auto" w:fill="FFFFFF"/>
        </w:rPr>
        <w:t xml:space="preserve">, les stratégies d’entreprise, les avantages </w:t>
      </w:r>
      <w:r w:rsidRPr="00E20B9D">
        <w:rPr>
          <w:rFonts w:ascii="Arial" w:hAnsi="Arial" w:cs="Arial"/>
          <w:i/>
          <w:iCs/>
          <w:color w:val="242424"/>
          <w:sz w:val="18"/>
          <w:szCs w:val="18"/>
        </w:rPr>
        <w:t xml:space="preserve">escomptés </w:t>
      </w:r>
      <w:r w:rsidRPr="00E20B9D">
        <w:rPr>
          <w:rFonts w:ascii="Arial" w:hAnsi="Arial" w:cs="Arial"/>
          <w:i/>
          <w:iCs/>
          <w:color w:val="242424"/>
          <w:sz w:val="18"/>
          <w:szCs w:val="18"/>
          <w:shd w:val="clear" w:color="auto" w:fill="FFFFFF"/>
        </w:rPr>
        <w:t xml:space="preserve">de la transaction proposée, les résultats financiers et opérationnels futurs, la date </w:t>
      </w:r>
      <w:r w:rsidRPr="00E20B9D">
        <w:rPr>
          <w:rFonts w:ascii="Arial" w:hAnsi="Arial" w:cs="Arial"/>
          <w:i/>
          <w:iCs/>
          <w:color w:val="242424"/>
          <w:sz w:val="18"/>
          <w:szCs w:val="18"/>
        </w:rPr>
        <w:t xml:space="preserve">prévue </w:t>
      </w:r>
      <w:r w:rsidRPr="00E20B9D">
        <w:rPr>
          <w:rFonts w:ascii="Arial" w:hAnsi="Arial" w:cs="Arial"/>
          <w:i/>
          <w:iCs/>
          <w:color w:val="242424"/>
          <w:sz w:val="18"/>
          <w:szCs w:val="18"/>
          <w:shd w:val="clear" w:color="auto" w:fill="FFFFFF"/>
        </w:rPr>
        <w:t xml:space="preserve">de </w:t>
      </w:r>
      <w:r w:rsidRPr="00E20B9D">
        <w:rPr>
          <w:rFonts w:ascii="Arial" w:hAnsi="Arial" w:cs="Arial"/>
          <w:i/>
          <w:iCs/>
          <w:color w:val="242424"/>
          <w:sz w:val="18"/>
          <w:szCs w:val="18"/>
        </w:rPr>
        <w:t xml:space="preserve">réalisation </w:t>
      </w:r>
      <w:r w:rsidRPr="00E20B9D">
        <w:rPr>
          <w:rFonts w:ascii="Arial" w:hAnsi="Arial" w:cs="Arial"/>
          <w:i/>
          <w:iCs/>
          <w:color w:val="242424"/>
          <w:sz w:val="18"/>
          <w:szCs w:val="18"/>
          <w:shd w:val="clear" w:color="auto" w:fill="FFFFFF"/>
        </w:rPr>
        <w:t xml:space="preserve">de la transaction proposée et d’autres aspects </w:t>
      </w:r>
      <w:r w:rsidRPr="00E20B9D">
        <w:rPr>
          <w:rFonts w:ascii="Arial" w:hAnsi="Arial" w:cs="Arial"/>
          <w:i/>
          <w:iCs/>
          <w:color w:val="242424"/>
          <w:sz w:val="18"/>
          <w:szCs w:val="18"/>
        </w:rPr>
        <w:t xml:space="preserve">escomptés </w:t>
      </w:r>
      <w:r w:rsidRPr="00E20B9D">
        <w:rPr>
          <w:rFonts w:ascii="Arial" w:hAnsi="Arial" w:cs="Arial"/>
          <w:i/>
          <w:iCs/>
          <w:color w:val="242424"/>
          <w:sz w:val="18"/>
          <w:szCs w:val="18"/>
          <w:shd w:val="clear" w:color="auto" w:fill="FFFFFF"/>
        </w:rPr>
        <w:t xml:space="preserve">de nos </w:t>
      </w:r>
      <w:r w:rsidRPr="00E20B9D">
        <w:rPr>
          <w:rFonts w:ascii="Arial" w:hAnsi="Arial" w:cs="Arial"/>
          <w:i/>
          <w:iCs/>
          <w:color w:val="242424"/>
          <w:sz w:val="18"/>
          <w:szCs w:val="18"/>
        </w:rPr>
        <w:t xml:space="preserve">activités </w:t>
      </w:r>
      <w:r w:rsidRPr="00E20B9D">
        <w:rPr>
          <w:rFonts w:ascii="Arial" w:hAnsi="Arial" w:cs="Arial"/>
          <w:i/>
          <w:iCs/>
          <w:color w:val="242424"/>
          <w:sz w:val="18"/>
          <w:szCs w:val="18"/>
          <w:shd w:val="clear" w:color="auto" w:fill="FFFFFF"/>
        </w:rPr>
        <w:t xml:space="preserve">ou résultats opérationnels sont des </w:t>
      </w:r>
      <w:r w:rsidRPr="00E20B9D">
        <w:rPr>
          <w:rFonts w:ascii="Arial" w:hAnsi="Arial" w:cs="Arial"/>
          <w:i/>
          <w:iCs/>
          <w:color w:val="242424"/>
          <w:sz w:val="18"/>
          <w:szCs w:val="18"/>
        </w:rPr>
        <w:t xml:space="preserve">déclarations </w:t>
      </w:r>
      <w:r w:rsidRPr="00E20B9D">
        <w:rPr>
          <w:rFonts w:ascii="Arial" w:hAnsi="Arial" w:cs="Arial"/>
          <w:i/>
          <w:iCs/>
          <w:color w:val="242424"/>
          <w:sz w:val="18"/>
          <w:szCs w:val="18"/>
          <w:shd w:val="clear" w:color="auto" w:fill="FFFFFF"/>
        </w:rPr>
        <w:t>prospecti</w:t>
      </w:r>
      <w:r w:rsidRPr="00E20B9D">
        <w:rPr>
          <w:rFonts w:ascii="Arial" w:hAnsi="Arial" w:cs="Arial"/>
          <w:i/>
          <w:iCs/>
          <w:color w:val="242424"/>
          <w:sz w:val="18"/>
          <w:szCs w:val="18"/>
        </w:rPr>
        <w:t>ve</w:t>
      </w:r>
      <w:r w:rsidRPr="00E20B9D">
        <w:rPr>
          <w:rFonts w:ascii="Arial" w:hAnsi="Arial" w:cs="Arial"/>
          <w:i/>
          <w:iCs/>
          <w:color w:val="242424"/>
          <w:sz w:val="18"/>
          <w:szCs w:val="18"/>
          <w:shd w:val="clear" w:color="auto" w:fill="FFFFFF"/>
        </w:rPr>
        <w:t xml:space="preserve">s. </w:t>
      </w:r>
      <w:r w:rsidRPr="00E20B9D">
        <w:rPr>
          <w:rFonts w:ascii="Arial" w:hAnsi="Arial" w:cs="Arial"/>
          <w:i/>
          <w:iCs/>
          <w:color w:val="242424"/>
          <w:sz w:val="18"/>
          <w:szCs w:val="18"/>
        </w:rPr>
        <w:t xml:space="preserve">Des mots et expressions déclarations </w:t>
      </w:r>
      <w:r w:rsidRPr="00E20B9D">
        <w:rPr>
          <w:rFonts w:ascii="Arial" w:hAnsi="Arial" w:cs="Arial"/>
          <w:i/>
          <w:iCs/>
          <w:color w:val="242424"/>
          <w:sz w:val="18"/>
          <w:szCs w:val="18"/>
          <w:shd w:val="clear" w:color="auto" w:fill="FFFFFF"/>
        </w:rPr>
        <w:t>tels que “ peut “, “ va “, “ s’attend</w:t>
      </w:r>
      <w:r w:rsidRPr="00E20B9D">
        <w:rPr>
          <w:rFonts w:ascii="Arial" w:hAnsi="Arial" w:cs="Arial"/>
          <w:i/>
          <w:iCs/>
          <w:color w:val="242424"/>
          <w:sz w:val="18"/>
          <w:szCs w:val="18"/>
        </w:rPr>
        <w:t>re à</w:t>
      </w:r>
      <w:r w:rsidRPr="00E20B9D">
        <w:rPr>
          <w:rFonts w:ascii="Arial" w:hAnsi="Arial" w:cs="Arial"/>
          <w:i/>
          <w:iCs/>
          <w:color w:val="242424"/>
          <w:sz w:val="18"/>
          <w:szCs w:val="18"/>
          <w:shd w:val="clear" w:color="auto" w:fill="FFFFFF"/>
        </w:rPr>
        <w:t xml:space="preserve"> “, “ pourrait “, “ devrait “, “ </w:t>
      </w:r>
      <w:r w:rsidRPr="00E20B9D">
        <w:rPr>
          <w:rFonts w:ascii="Arial" w:hAnsi="Arial" w:cs="Arial"/>
          <w:i/>
          <w:iCs/>
          <w:color w:val="242424"/>
          <w:sz w:val="18"/>
          <w:szCs w:val="18"/>
        </w:rPr>
        <w:t>avoir</w:t>
      </w:r>
      <w:r w:rsidRPr="00E20B9D">
        <w:rPr>
          <w:rFonts w:ascii="Arial" w:hAnsi="Arial" w:cs="Arial"/>
          <w:i/>
          <w:iCs/>
          <w:color w:val="242424"/>
          <w:sz w:val="18"/>
          <w:szCs w:val="18"/>
          <w:shd w:val="clear" w:color="auto" w:fill="FFFFFF"/>
        </w:rPr>
        <w:t xml:space="preserve"> l’intention </w:t>
      </w:r>
      <w:r w:rsidRPr="00E20B9D">
        <w:rPr>
          <w:rFonts w:ascii="Arial" w:hAnsi="Arial" w:cs="Arial"/>
          <w:i/>
          <w:iCs/>
          <w:color w:val="242424"/>
          <w:sz w:val="18"/>
          <w:szCs w:val="18"/>
        </w:rPr>
        <w:t>de</w:t>
      </w:r>
      <w:r w:rsidRPr="00E20B9D">
        <w:rPr>
          <w:rFonts w:ascii="Arial" w:hAnsi="Arial" w:cs="Arial"/>
          <w:i/>
          <w:iCs/>
          <w:color w:val="242424"/>
          <w:sz w:val="18"/>
          <w:szCs w:val="18"/>
          <w:shd w:val="clear" w:color="auto" w:fill="FFFFFF"/>
        </w:rPr>
        <w:t>“, “ estime</w:t>
      </w:r>
      <w:r w:rsidRPr="00E20B9D">
        <w:rPr>
          <w:rFonts w:ascii="Arial" w:hAnsi="Arial" w:cs="Arial"/>
          <w:i/>
          <w:iCs/>
          <w:color w:val="242424"/>
          <w:sz w:val="18"/>
          <w:szCs w:val="18"/>
        </w:rPr>
        <w:t>r</w:t>
      </w:r>
      <w:r w:rsidRPr="00E20B9D">
        <w:rPr>
          <w:rFonts w:ascii="Arial" w:hAnsi="Arial" w:cs="Arial"/>
          <w:i/>
          <w:iCs/>
          <w:color w:val="242424"/>
          <w:sz w:val="18"/>
          <w:szCs w:val="18"/>
          <w:shd w:val="clear" w:color="auto" w:fill="FFFFFF"/>
        </w:rPr>
        <w:t xml:space="preserve"> “, “ anticipe</w:t>
      </w:r>
      <w:r w:rsidRPr="00E20B9D">
        <w:rPr>
          <w:rFonts w:ascii="Arial" w:hAnsi="Arial" w:cs="Arial"/>
          <w:i/>
          <w:iCs/>
          <w:color w:val="242424"/>
          <w:sz w:val="18"/>
          <w:szCs w:val="18"/>
        </w:rPr>
        <w:t>r</w:t>
      </w:r>
      <w:r w:rsidRPr="00E20B9D">
        <w:rPr>
          <w:rFonts w:ascii="Arial" w:hAnsi="Arial" w:cs="Arial"/>
          <w:i/>
          <w:iCs/>
          <w:color w:val="242424"/>
          <w:sz w:val="18"/>
          <w:szCs w:val="18"/>
          <w:shd w:val="clear" w:color="auto" w:fill="FFFFFF"/>
        </w:rPr>
        <w:t xml:space="preserve"> “, </w:t>
      </w:r>
      <w:r w:rsidRPr="00E20B9D">
        <w:rPr>
          <w:rFonts w:ascii="Arial" w:hAnsi="Arial" w:cs="Arial"/>
          <w:i/>
          <w:iCs/>
          <w:color w:val="242424"/>
          <w:sz w:val="18"/>
          <w:szCs w:val="18"/>
        </w:rPr>
        <w:t xml:space="preserve">“ penser “, </w:t>
      </w:r>
      <w:r w:rsidRPr="00E20B9D">
        <w:rPr>
          <w:rFonts w:ascii="Arial" w:hAnsi="Arial" w:cs="Arial"/>
          <w:i/>
          <w:iCs/>
          <w:color w:val="242424"/>
          <w:sz w:val="18"/>
          <w:szCs w:val="18"/>
          <w:shd w:val="clear" w:color="auto" w:fill="FFFFFF"/>
        </w:rPr>
        <w:t>“ croi</w:t>
      </w:r>
      <w:r w:rsidRPr="00E20B9D">
        <w:rPr>
          <w:rFonts w:ascii="Arial" w:hAnsi="Arial" w:cs="Arial"/>
          <w:i/>
          <w:iCs/>
          <w:color w:val="242424"/>
          <w:sz w:val="18"/>
          <w:szCs w:val="18"/>
        </w:rPr>
        <w:t>re</w:t>
      </w:r>
      <w:r w:rsidRPr="00E20B9D">
        <w:rPr>
          <w:rFonts w:ascii="Arial" w:hAnsi="Arial" w:cs="Arial"/>
          <w:i/>
          <w:iCs/>
          <w:color w:val="242424"/>
          <w:sz w:val="18"/>
          <w:szCs w:val="18"/>
          <w:shd w:val="clear" w:color="auto" w:fill="FFFFFF"/>
        </w:rPr>
        <w:t xml:space="preserve"> “, “ reste</w:t>
      </w:r>
      <w:r w:rsidRPr="00E20B9D">
        <w:rPr>
          <w:rFonts w:ascii="Arial" w:hAnsi="Arial" w:cs="Arial"/>
          <w:i/>
          <w:iCs/>
          <w:color w:val="242424"/>
          <w:sz w:val="18"/>
          <w:szCs w:val="18"/>
        </w:rPr>
        <w:t>r</w:t>
      </w:r>
      <w:r w:rsidRPr="00E20B9D">
        <w:rPr>
          <w:rFonts w:ascii="Arial" w:hAnsi="Arial" w:cs="Arial"/>
          <w:i/>
          <w:iCs/>
          <w:color w:val="242424"/>
          <w:sz w:val="18"/>
          <w:szCs w:val="18"/>
          <w:shd w:val="clear" w:color="auto" w:fill="FFFFFF"/>
        </w:rPr>
        <w:t xml:space="preserve"> “, “ en bonne voie “, “ conception”, “ cible “, “ objectif “, “ but “, “ prévision “, “ projection “, “ perspectives “, </w:t>
      </w:r>
      <w:r w:rsidRPr="00E20B9D">
        <w:rPr>
          <w:rFonts w:ascii="Arial" w:hAnsi="Arial" w:cs="Arial"/>
          <w:i/>
          <w:iCs/>
          <w:color w:val="242424"/>
          <w:sz w:val="18"/>
          <w:szCs w:val="18"/>
        </w:rPr>
        <w:t xml:space="preserve">“ estimation “, </w:t>
      </w:r>
      <w:r w:rsidRPr="00E20B9D">
        <w:rPr>
          <w:rFonts w:ascii="Arial" w:hAnsi="Arial" w:cs="Arial"/>
          <w:i/>
          <w:iCs/>
          <w:color w:val="242424"/>
          <w:sz w:val="18"/>
          <w:szCs w:val="18"/>
          <w:shd w:val="clear" w:color="auto" w:fill="FFFFFF"/>
        </w:rPr>
        <w:t>“ plan</w:t>
      </w:r>
      <w:r w:rsidRPr="00E20B9D">
        <w:rPr>
          <w:rFonts w:ascii="Arial" w:hAnsi="Arial" w:cs="Arial"/>
          <w:i/>
          <w:iCs/>
          <w:color w:val="242424"/>
          <w:sz w:val="18"/>
          <w:szCs w:val="18"/>
        </w:rPr>
        <w:t>ifier</w:t>
      </w:r>
      <w:r w:rsidRPr="00E20B9D">
        <w:rPr>
          <w:rFonts w:ascii="Arial" w:hAnsi="Arial" w:cs="Arial"/>
          <w:i/>
          <w:iCs/>
          <w:color w:val="242424"/>
          <w:sz w:val="18"/>
          <w:szCs w:val="18"/>
          <w:shd w:val="clear" w:color="auto" w:fill="FFFFFF"/>
        </w:rPr>
        <w:t xml:space="preserve"> “, </w:t>
      </w:r>
      <w:r w:rsidRPr="00E20B9D">
        <w:rPr>
          <w:rFonts w:ascii="Arial" w:hAnsi="Arial" w:cs="Arial"/>
          <w:i/>
          <w:iCs/>
          <w:color w:val="242424"/>
          <w:sz w:val="18"/>
          <w:szCs w:val="18"/>
        </w:rPr>
        <w:t>ainsi que les mots et expressions de cette nature et toutes les phrases au futur indiquent des déclarations prospectives</w:t>
      </w:r>
      <w:r w:rsidRPr="00E20B9D">
        <w:rPr>
          <w:rFonts w:ascii="Arial" w:hAnsi="Arial" w:cs="Arial"/>
          <w:i/>
          <w:iCs/>
          <w:color w:val="242424"/>
          <w:sz w:val="18"/>
          <w:szCs w:val="18"/>
          <w:shd w:val="clear" w:color="auto" w:fill="FFFFFF"/>
        </w:rPr>
        <w:t>. Les déclarations prospectives ne sont pas des garanties de rendement futur. Elles sont fondées sur l’état actuel des connaissances</w:t>
      </w:r>
      <w:r w:rsidRPr="00E20B9D">
        <w:rPr>
          <w:rFonts w:ascii="Arial" w:hAnsi="Arial" w:cs="Arial"/>
          <w:i/>
          <w:iCs/>
          <w:color w:val="242424"/>
          <w:sz w:val="18"/>
          <w:szCs w:val="18"/>
        </w:rPr>
        <w:t xml:space="preserve"> de Stellantis</w:t>
      </w:r>
      <w:r w:rsidRPr="00E20B9D">
        <w:rPr>
          <w:rFonts w:ascii="Arial" w:hAnsi="Arial" w:cs="Arial"/>
          <w:i/>
          <w:iCs/>
          <w:color w:val="242424"/>
          <w:sz w:val="18"/>
          <w:szCs w:val="18"/>
          <w:shd w:val="clear" w:color="auto" w:fill="FFFFFF"/>
        </w:rPr>
        <w:t xml:space="preserve">, les attentes futures et les projections concernant </w:t>
      </w:r>
      <w:r w:rsidRPr="00E20B9D">
        <w:rPr>
          <w:rFonts w:ascii="Arial" w:hAnsi="Arial" w:cs="Arial"/>
          <w:i/>
          <w:iCs/>
          <w:color w:val="242424"/>
          <w:sz w:val="18"/>
          <w:szCs w:val="18"/>
        </w:rPr>
        <w:t>des évènements futurs</w:t>
      </w:r>
      <w:r w:rsidRPr="00E20B9D">
        <w:rPr>
          <w:rFonts w:ascii="Arial" w:hAnsi="Arial" w:cs="Arial"/>
          <w:i/>
          <w:iCs/>
          <w:color w:val="242424"/>
          <w:sz w:val="18"/>
          <w:szCs w:val="18"/>
          <w:shd w:val="clear" w:color="auto" w:fill="FFFFFF"/>
        </w:rPr>
        <w:t xml:space="preserve"> et sont</w:t>
      </w:r>
      <w:r w:rsidRPr="00E20B9D">
        <w:rPr>
          <w:rFonts w:ascii="Arial" w:hAnsi="Arial" w:cs="Arial"/>
          <w:i/>
          <w:iCs/>
          <w:color w:val="242424"/>
          <w:sz w:val="18"/>
          <w:szCs w:val="18"/>
        </w:rPr>
        <w:t>,</w:t>
      </w:r>
      <w:r w:rsidRPr="00E20B9D">
        <w:rPr>
          <w:rFonts w:ascii="Arial" w:hAnsi="Arial" w:cs="Arial"/>
          <w:i/>
          <w:iCs/>
          <w:color w:val="242424"/>
          <w:sz w:val="18"/>
          <w:szCs w:val="18"/>
          <w:shd w:val="clear" w:color="auto" w:fill="FFFFFF"/>
        </w:rPr>
        <w:t xml:space="preserve"> par nature</w:t>
      </w:r>
      <w:r w:rsidRPr="00E20B9D">
        <w:rPr>
          <w:rFonts w:ascii="Arial" w:hAnsi="Arial" w:cs="Arial"/>
          <w:i/>
          <w:iCs/>
          <w:color w:val="242424"/>
          <w:sz w:val="18"/>
          <w:szCs w:val="18"/>
        </w:rPr>
        <w:t>,</w:t>
      </w:r>
      <w:r w:rsidRPr="00E20B9D">
        <w:rPr>
          <w:rFonts w:ascii="Arial" w:hAnsi="Arial" w:cs="Arial"/>
          <w:i/>
          <w:iCs/>
          <w:color w:val="242424"/>
          <w:sz w:val="18"/>
          <w:szCs w:val="18"/>
          <w:shd w:val="clear" w:color="auto" w:fill="FFFFFF"/>
        </w:rPr>
        <w:t xml:space="preserve"> </w:t>
      </w:r>
      <w:r w:rsidRPr="00E20B9D">
        <w:rPr>
          <w:rFonts w:ascii="Arial" w:hAnsi="Arial" w:cs="Arial"/>
          <w:i/>
          <w:iCs/>
          <w:color w:val="242424"/>
          <w:sz w:val="18"/>
          <w:szCs w:val="18"/>
        </w:rPr>
        <w:t xml:space="preserve">soumises à de nombreux </w:t>
      </w:r>
      <w:r w:rsidRPr="00E20B9D">
        <w:rPr>
          <w:rFonts w:ascii="Arial" w:hAnsi="Arial" w:cs="Arial"/>
          <w:i/>
          <w:iCs/>
          <w:color w:val="242424"/>
          <w:sz w:val="18"/>
          <w:szCs w:val="18"/>
          <w:shd w:val="clear" w:color="auto" w:fill="FFFFFF"/>
        </w:rPr>
        <w:t xml:space="preserve">risques et incertitudes </w:t>
      </w:r>
      <w:r w:rsidRPr="00E20B9D">
        <w:rPr>
          <w:rFonts w:ascii="Arial" w:hAnsi="Arial" w:cs="Arial"/>
          <w:i/>
          <w:iCs/>
          <w:color w:val="242424"/>
          <w:sz w:val="18"/>
          <w:szCs w:val="18"/>
        </w:rPr>
        <w:t>inhérentes à ces activités et donc difficilement prévisibles</w:t>
      </w:r>
      <w:r w:rsidRPr="00E20B9D">
        <w:rPr>
          <w:rFonts w:ascii="Arial" w:hAnsi="Arial" w:cs="Arial"/>
          <w:i/>
          <w:iCs/>
          <w:color w:val="242424"/>
          <w:sz w:val="18"/>
          <w:szCs w:val="18"/>
          <w:shd w:val="clear" w:color="auto" w:fill="FFFFFF"/>
        </w:rPr>
        <w:t>. Elles se rapportent à des événements et dépendent de circonstances qui pourraient ou non se produire ou exister à l’avenir et, par conséquent,</w:t>
      </w:r>
      <w:r w:rsidRPr="00E20B9D">
        <w:rPr>
          <w:rFonts w:ascii="Arial" w:hAnsi="Arial" w:cs="Arial"/>
          <w:i/>
          <w:iCs/>
          <w:color w:val="242424"/>
          <w:sz w:val="18"/>
          <w:szCs w:val="18"/>
        </w:rPr>
        <w:t xml:space="preserve"> il ne faut pas s’y fier indûment</w:t>
      </w:r>
      <w:r w:rsidRPr="00E20B9D">
        <w:rPr>
          <w:rFonts w:ascii="Arial" w:hAnsi="Arial" w:cs="Arial"/>
          <w:i/>
          <w:iCs/>
          <w:color w:val="242424"/>
          <w:sz w:val="18"/>
          <w:szCs w:val="18"/>
          <w:shd w:val="clear" w:color="auto" w:fill="FFFFFF"/>
        </w:rPr>
        <w:t>. </w:t>
      </w:r>
    </w:p>
    <w:p w14:paraId="5DBFC874" w14:textId="77777777" w:rsidR="00BF4280" w:rsidRPr="00E20B9D" w:rsidRDefault="00BF4280" w:rsidP="00BF4280">
      <w:pPr>
        <w:spacing w:after="0"/>
        <w:rPr>
          <w:rFonts w:ascii="Arial" w:hAnsi="Arial" w:cs="Arial"/>
          <w:i/>
          <w:iCs/>
          <w:color w:val="242424"/>
          <w:sz w:val="18"/>
          <w:szCs w:val="18"/>
          <w:shd w:val="clear" w:color="auto" w:fill="FFFFFF"/>
        </w:rPr>
      </w:pPr>
    </w:p>
    <w:p w14:paraId="2179F91D" w14:textId="77777777" w:rsidR="00BF4280" w:rsidRPr="00E20B9D" w:rsidRDefault="00BF4280" w:rsidP="00BF4280">
      <w:pPr>
        <w:rPr>
          <w:rFonts w:ascii="Arial" w:hAnsi="Arial" w:cs="Arial"/>
          <w:i/>
          <w:iCs/>
          <w:color w:val="242424"/>
          <w:sz w:val="18"/>
          <w:szCs w:val="18"/>
          <w:shd w:val="clear" w:color="auto" w:fill="FFFFFF"/>
        </w:rPr>
      </w:pPr>
      <w:r w:rsidRPr="00E20B9D">
        <w:rPr>
          <w:rFonts w:ascii="Arial" w:hAnsi="Arial" w:cs="Arial"/>
          <w:i/>
          <w:iCs/>
          <w:color w:val="242424"/>
          <w:sz w:val="18"/>
          <w:szCs w:val="18"/>
          <w:shd w:val="clear" w:color="auto" w:fill="FFFFFF"/>
        </w:rPr>
        <w:t xml:space="preserve">Les résultats réels peuvent </w:t>
      </w:r>
      <w:r w:rsidRPr="00E20B9D">
        <w:rPr>
          <w:rFonts w:ascii="Arial" w:hAnsi="Arial" w:cs="Arial"/>
          <w:i/>
          <w:iCs/>
          <w:color w:val="242424"/>
          <w:sz w:val="18"/>
          <w:szCs w:val="18"/>
        </w:rPr>
        <w:t xml:space="preserve">sensiblement </w:t>
      </w:r>
      <w:r w:rsidRPr="00E20B9D">
        <w:rPr>
          <w:rFonts w:ascii="Arial" w:hAnsi="Arial" w:cs="Arial"/>
          <w:i/>
          <w:iCs/>
          <w:color w:val="242424"/>
          <w:sz w:val="18"/>
          <w:szCs w:val="18"/>
          <w:shd w:val="clear" w:color="auto" w:fill="FFFFFF"/>
        </w:rPr>
        <w:t xml:space="preserve">différer de ceux exprimés dans les </w:t>
      </w:r>
      <w:r w:rsidRPr="00E20B9D">
        <w:rPr>
          <w:rFonts w:ascii="Arial" w:hAnsi="Arial" w:cs="Arial"/>
          <w:i/>
          <w:iCs/>
          <w:color w:val="242424"/>
          <w:sz w:val="18"/>
          <w:szCs w:val="18"/>
        </w:rPr>
        <w:t xml:space="preserve">déclarations </w:t>
      </w:r>
      <w:r w:rsidRPr="00E20B9D">
        <w:rPr>
          <w:rFonts w:ascii="Arial" w:hAnsi="Arial" w:cs="Arial"/>
          <w:i/>
          <w:iCs/>
          <w:color w:val="242424"/>
          <w:sz w:val="18"/>
          <w:szCs w:val="18"/>
          <w:shd w:val="clear" w:color="auto" w:fill="FFFFFF"/>
        </w:rPr>
        <w:t>prospecti</w:t>
      </w:r>
      <w:r w:rsidRPr="00E20B9D">
        <w:rPr>
          <w:rFonts w:ascii="Arial" w:hAnsi="Arial" w:cs="Arial"/>
          <w:i/>
          <w:iCs/>
          <w:color w:val="242424"/>
          <w:sz w:val="18"/>
          <w:szCs w:val="18"/>
        </w:rPr>
        <w:t>ve</w:t>
      </w:r>
      <w:r w:rsidRPr="00E20B9D">
        <w:rPr>
          <w:rFonts w:ascii="Arial" w:hAnsi="Arial" w:cs="Arial"/>
          <w:i/>
          <w:iCs/>
          <w:color w:val="242424"/>
          <w:sz w:val="18"/>
          <w:szCs w:val="18"/>
          <w:shd w:val="clear" w:color="auto" w:fill="FFFFFF"/>
        </w:rPr>
        <w:t>s en raison de divers facteurs, notamment : l’impact de la pandémie COVID-19, la capacité de Stellantis à lancer de nouveaux produits avec succès et à maintenir le volume des expéditions de véhicules; l’évolution des marchés financiers mondiaux, l’environnement économique général et l’évolution de la demande de produits automobiles qui sont soumis à un cycle conjoncturel; l’évolution de la situation économique et politique</w:t>
      </w:r>
      <w:r w:rsidRPr="00E20B9D">
        <w:rPr>
          <w:rFonts w:ascii="Arial" w:hAnsi="Arial" w:cs="Arial"/>
          <w:i/>
          <w:iCs/>
          <w:color w:val="242424"/>
          <w:sz w:val="18"/>
          <w:szCs w:val="18"/>
        </w:rPr>
        <w:t>s</w:t>
      </w:r>
      <w:r w:rsidRPr="00E20B9D">
        <w:rPr>
          <w:rFonts w:ascii="Arial" w:hAnsi="Arial" w:cs="Arial"/>
          <w:i/>
          <w:iCs/>
          <w:color w:val="242424"/>
          <w:sz w:val="18"/>
          <w:szCs w:val="18"/>
          <w:shd w:val="clear" w:color="auto" w:fill="FFFFFF"/>
        </w:rPr>
        <w:t xml:space="preserve"> locale</w:t>
      </w:r>
      <w:r w:rsidRPr="00E20B9D">
        <w:rPr>
          <w:rFonts w:ascii="Arial" w:hAnsi="Arial" w:cs="Arial"/>
          <w:i/>
          <w:iCs/>
          <w:color w:val="242424"/>
          <w:sz w:val="18"/>
          <w:szCs w:val="18"/>
        </w:rPr>
        <w:t>s</w:t>
      </w:r>
      <w:r w:rsidRPr="00E20B9D">
        <w:rPr>
          <w:rFonts w:ascii="Arial" w:hAnsi="Arial" w:cs="Arial"/>
          <w:i/>
          <w:iCs/>
          <w:color w:val="242424"/>
          <w:sz w:val="18"/>
          <w:szCs w:val="18"/>
          <w:shd w:val="clear" w:color="auto" w:fill="FFFFFF"/>
        </w:rPr>
        <w:t xml:space="preserve">, l’évolution de la politique commerciale et l’imposition de </w:t>
      </w:r>
      <w:r w:rsidRPr="00E20B9D">
        <w:rPr>
          <w:rFonts w:ascii="Arial" w:hAnsi="Arial" w:cs="Arial"/>
          <w:i/>
          <w:iCs/>
          <w:color w:val="242424"/>
          <w:sz w:val="18"/>
          <w:szCs w:val="18"/>
        </w:rPr>
        <w:t xml:space="preserve">taxes </w:t>
      </w:r>
      <w:r w:rsidRPr="00E20B9D">
        <w:rPr>
          <w:rFonts w:ascii="Arial" w:hAnsi="Arial" w:cs="Arial"/>
          <w:i/>
          <w:iCs/>
          <w:color w:val="242424"/>
          <w:sz w:val="18"/>
          <w:szCs w:val="18"/>
          <w:shd w:val="clear" w:color="auto" w:fill="FFFFFF"/>
        </w:rPr>
        <w:t xml:space="preserve">ou de </w:t>
      </w:r>
      <w:r w:rsidRPr="00E20B9D">
        <w:rPr>
          <w:rFonts w:ascii="Arial" w:hAnsi="Arial" w:cs="Arial"/>
          <w:i/>
          <w:iCs/>
          <w:color w:val="242424"/>
          <w:sz w:val="18"/>
          <w:szCs w:val="18"/>
        </w:rPr>
        <w:t xml:space="preserve">droits de douane </w:t>
      </w:r>
      <w:r w:rsidRPr="00E20B9D">
        <w:rPr>
          <w:rFonts w:ascii="Arial" w:hAnsi="Arial" w:cs="Arial"/>
          <w:i/>
          <w:iCs/>
          <w:color w:val="242424"/>
          <w:sz w:val="18"/>
          <w:szCs w:val="18"/>
          <w:shd w:val="clear" w:color="auto" w:fill="FFFFFF"/>
        </w:rPr>
        <w:t>mondi</w:t>
      </w:r>
      <w:r w:rsidRPr="00E20B9D">
        <w:rPr>
          <w:rFonts w:ascii="Arial" w:hAnsi="Arial" w:cs="Arial"/>
          <w:i/>
          <w:iCs/>
          <w:color w:val="242424"/>
          <w:sz w:val="18"/>
          <w:szCs w:val="18"/>
        </w:rPr>
        <w:t>ales</w:t>
      </w:r>
      <w:r w:rsidRPr="00E20B9D">
        <w:rPr>
          <w:rFonts w:ascii="Arial" w:hAnsi="Arial" w:cs="Arial"/>
          <w:i/>
          <w:iCs/>
          <w:color w:val="242424"/>
          <w:sz w:val="18"/>
          <w:szCs w:val="18"/>
          <w:shd w:val="clear" w:color="auto" w:fill="FFFFFF"/>
        </w:rPr>
        <w:t xml:space="preserve"> et </w:t>
      </w:r>
      <w:r w:rsidRPr="00E20B9D">
        <w:rPr>
          <w:rFonts w:ascii="Arial" w:hAnsi="Arial" w:cs="Arial"/>
          <w:i/>
          <w:iCs/>
          <w:color w:val="242424"/>
          <w:sz w:val="18"/>
          <w:szCs w:val="18"/>
        </w:rPr>
        <w:t xml:space="preserve">régionales applicables </w:t>
      </w:r>
      <w:r w:rsidRPr="00E20B9D">
        <w:rPr>
          <w:rFonts w:ascii="Arial" w:hAnsi="Arial" w:cs="Arial"/>
          <w:i/>
          <w:iCs/>
          <w:color w:val="242424"/>
          <w:sz w:val="18"/>
          <w:szCs w:val="18"/>
          <w:shd w:val="clear" w:color="auto" w:fill="FFFFFF"/>
        </w:rPr>
        <w:t xml:space="preserve">à l’industrie automobile, l’adoption de réformes fiscales ou d’autres modifications des lois et règlements fiscaux; la capacité de Stellantis’ à élargir certaines de leurs marques à l’échelle mondiale; sa capacité à offrir des produits innovants et attrayants; sa capacité à développer, fabriquer et vendre des véhicules dotés de caractéristiques avancées, notamment </w:t>
      </w:r>
      <w:r w:rsidRPr="00E20B9D">
        <w:rPr>
          <w:rFonts w:ascii="Arial" w:hAnsi="Arial" w:cs="Arial"/>
          <w:i/>
          <w:iCs/>
          <w:color w:val="242424"/>
          <w:sz w:val="18"/>
          <w:szCs w:val="18"/>
        </w:rPr>
        <w:t>l’amélioration de l’</w:t>
      </w:r>
      <w:r w:rsidRPr="00E20B9D">
        <w:rPr>
          <w:rFonts w:ascii="Arial" w:hAnsi="Arial" w:cs="Arial"/>
          <w:i/>
          <w:iCs/>
          <w:color w:val="242424"/>
          <w:sz w:val="18"/>
          <w:szCs w:val="18"/>
          <w:shd w:val="clear" w:color="auto" w:fill="FFFFFF"/>
        </w:rPr>
        <w:t xml:space="preserve">électrification, </w:t>
      </w:r>
      <w:r w:rsidRPr="00E20B9D">
        <w:rPr>
          <w:rFonts w:ascii="Arial" w:hAnsi="Arial" w:cs="Arial"/>
          <w:i/>
          <w:iCs/>
          <w:color w:val="242424"/>
          <w:sz w:val="18"/>
          <w:szCs w:val="18"/>
        </w:rPr>
        <w:t xml:space="preserve">de la </w:t>
      </w:r>
      <w:r w:rsidRPr="00E20B9D">
        <w:rPr>
          <w:rFonts w:ascii="Arial" w:hAnsi="Arial" w:cs="Arial"/>
          <w:i/>
          <w:iCs/>
          <w:color w:val="242424"/>
          <w:sz w:val="18"/>
          <w:szCs w:val="18"/>
          <w:shd w:val="clear" w:color="auto" w:fill="FFFFFF"/>
        </w:rPr>
        <w:t xml:space="preserve">connectivité et des caractéristiques de conduite autonome; </w:t>
      </w:r>
      <w:r w:rsidRPr="00E20B9D">
        <w:rPr>
          <w:rFonts w:ascii="Arial" w:hAnsi="Arial" w:cs="Arial"/>
          <w:i/>
          <w:iCs/>
          <w:color w:val="242424"/>
          <w:sz w:val="18"/>
          <w:szCs w:val="18"/>
        </w:rPr>
        <w:t xml:space="preserve">tous </w:t>
      </w:r>
      <w:r w:rsidRPr="00E20B9D">
        <w:rPr>
          <w:rFonts w:ascii="Arial" w:hAnsi="Arial" w:cs="Arial"/>
          <w:i/>
          <w:iCs/>
          <w:color w:val="242424"/>
          <w:sz w:val="18"/>
          <w:szCs w:val="18"/>
          <w:shd w:val="clear" w:color="auto" w:fill="FFFFFF"/>
        </w:rPr>
        <w:t xml:space="preserve">types </w:t>
      </w:r>
      <w:r w:rsidRPr="00E20B9D">
        <w:rPr>
          <w:rFonts w:ascii="Arial" w:hAnsi="Arial" w:cs="Arial"/>
          <w:i/>
          <w:iCs/>
          <w:color w:val="242424"/>
          <w:sz w:val="18"/>
          <w:szCs w:val="18"/>
        </w:rPr>
        <w:t xml:space="preserve">d’actions, </w:t>
      </w:r>
      <w:r w:rsidRPr="00E20B9D">
        <w:rPr>
          <w:rFonts w:ascii="Arial" w:hAnsi="Arial" w:cs="Arial"/>
          <w:i/>
          <w:iCs/>
          <w:color w:val="242424"/>
          <w:sz w:val="18"/>
          <w:szCs w:val="18"/>
          <w:shd w:val="clear" w:color="auto" w:fill="FFFFFF"/>
        </w:rPr>
        <w:t xml:space="preserve">de réclamations, de poursuites judiciaires, d’enquêtes gouvernementales et d’autres </w:t>
      </w:r>
      <w:r w:rsidRPr="00E20B9D">
        <w:rPr>
          <w:rFonts w:ascii="Arial" w:hAnsi="Arial" w:cs="Arial"/>
          <w:i/>
          <w:iCs/>
          <w:color w:val="242424"/>
          <w:sz w:val="18"/>
          <w:szCs w:val="18"/>
        </w:rPr>
        <w:t xml:space="preserve">évènements </w:t>
      </w:r>
      <w:r w:rsidRPr="00E20B9D">
        <w:rPr>
          <w:rFonts w:ascii="Arial" w:hAnsi="Arial" w:cs="Arial"/>
          <w:i/>
          <w:iCs/>
          <w:color w:val="242424"/>
          <w:sz w:val="18"/>
          <w:szCs w:val="18"/>
          <w:shd w:val="clear" w:color="auto" w:fill="FFFFFF"/>
        </w:rPr>
        <w:t xml:space="preserve">imprévus, y compris </w:t>
      </w:r>
      <w:r w:rsidRPr="00E20B9D">
        <w:rPr>
          <w:rFonts w:ascii="Arial" w:hAnsi="Arial" w:cs="Arial"/>
          <w:i/>
          <w:iCs/>
          <w:color w:val="242424"/>
          <w:sz w:val="18"/>
          <w:szCs w:val="18"/>
        </w:rPr>
        <w:t xml:space="preserve">toutes </w:t>
      </w:r>
      <w:r w:rsidRPr="00E20B9D">
        <w:rPr>
          <w:rFonts w:ascii="Arial" w:hAnsi="Arial" w:cs="Arial"/>
          <w:i/>
          <w:iCs/>
          <w:color w:val="242424"/>
          <w:sz w:val="18"/>
          <w:szCs w:val="18"/>
          <w:shd w:val="clear" w:color="auto" w:fill="FFFFFF"/>
        </w:rPr>
        <w:t xml:space="preserve">réclamations relatives à la responsabilité </w:t>
      </w:r>
      <w:r w:rsidRPr="00E20B9D">
        <w:rPr>
          <w:rFonts w:ascii="Arial" w:hAnsi="Arial" w:cs="Arial"/>
          <w:i/>
          <w:iCs/>
          <w:color w:val="242424"/>
          <w:sz w:val="18"/>
          <w:szCs w:val="18"/>
        </w:rPr>
        <w:t xml:space="preserve">du fait des produits défectueux </w:t>
      </w:r>
      <w:r w:rsidRPr="00E20B9D">
        <w:rPr>
          <w:rFonts w:ascii="Arial" w:hAnsi="Arial" w:cs="Arial"/>
          <w:i/>
          <w:iCs/>
          <w:color w:val="242424"/>
          <w:sz w:val="18"/>
          <w:szCs w:val="18"/>
          <w:shd w:val="clear" w:color="auto" w:fill="FFFFFF"/>
        </w:rPr>
        <w:t>et à la garantie des produits et les réclamations relatives à l’environnement, les enquêtes et les poursuites</w:t>
      </w:r>
      <w:r w:rsidRPr="00E20B9D">
        <w:rPr>
          <w:rFonts w:ascii="Arial" w:hAnsi="Arial" w:cs="Arial"/>
          <w:i/>
          <w:iCs/>
          <w:color w:val="242424"/>
          <w:sz w:val="18"/>
          <w:szCs w:val="18"/>
        </w:rPr>
        <w:t xml:space="preserve"> judiciaires</w:t>
      </w:r>
      <w:r w:rsidRPr="00E20B9D">
        <w:rPr>
          <w:rFonts w:ascii="Arial" w:hAnsi="Arial" w:cs="Arial"/>
          <w:i/>
          <w:iCs/>
          <w:color w:val="242424"/>
          <w:sz w:val="18"/>
          <w:szCs w:val="18"/>
          <w:shd w:val="clear" w:color="auto" w:fill="FFFFFF"/>
        </w:rPr>
        <w:t xml:space="preserve">; les dépenses significatives d’exploitation en ce qui concerne le respect des règlements en matière d’environnement, de santé et de sécurité; l’intensité de la concurrence dans l’industrie automobile, qui peut augmenter en raison de la consolidation; l’exposition à des </w:t>
      </w:r>
      <w:r w:rsidRPr="00E20B9D">
        <w:rPr>
          <w:rFonts w:ascii="Arial" w:hAnsi="Arial" w:cs="Arial"/>
          <w:i/>
          <w:iCs/>
          <w:color w:val="242424"/>
          <w:sz w:val="18"/>
          <w:szCs w:val="18"/>
        </w:rPr>
        <w:t xml:space="preserve">déficits </w:t>
      </w:r>
      <w:r w:rsidRPr="00E20B9D">
        <w:rPr>
          <w:rFonts w:ascii="Arial" w:hAnsi="Arial" w:cs="Arial"/>
          <w:i/>
          <w:iCs/>
          <w:color w:val="242424"/>
          <w:sz w:val="18"/>
          <w:szCs w:val="18"/>
          <w:shd w:val="clear" w:color="auto" w:fill="FFFFFF"/>
        </w:rPr>
        <w:t xml:space="preserve">dans le financement des régimes de retraite à prestations définies de Stellantis; la capacité de fournir ou d’organiser l’accès à un financement adéquat pour les concessionnaires et les </w:t>
      </w:r>
      <w:r w:rsidRPr="00E20B9D">
        <w:rPr>
          <w:rFonts w:ascii="Arial" w:hAnsi="Arial" w:cs="Arial"/>
          <w:i/>
          <w:iCs/>
          <w:color w:val="242424"/>
          <w:sz w:val="18"/>
          <w:szCs w:val="18"/>
        </w:rPr>
        <w:t>consommateurs</w:t>
      </w:r>
      <w:r w:rsidRPr="00E20B9D">
        <w:rPr>
          <w:rFonts w:ascii="Arial" w:hAnsi="Arial" w:cs="Arial"/>
          <w:i/>
          <w:iCs/>
          <w:color w:val="242424"/>
          <w:sz w:val="18"/>
          <w:szCs w:val="18"/>
          <w:shd w:val="clear" w:color="auto" w:fill="FFFFFF"/>
        </w:rPr>
        <w:t xml:space="preserve"> et les risques associés à la création et </w:t>
      </w:r>
      <w:r w:rsidRPr="00E20B9D">
        <w:rPr>
          <w:rFonts w:ascii="Arial" w:hAnsi="Arial" w:cs="Arial"/>
          <w:i/>
          <w:iCs/>
          <w:color w:val="242424"/>
          <w:sz w:val="18"/>
          <w:szCs w:val="18"/>
        </w:rPr>
        <w:t>exploitation</w:t>
      </w:r>
      <w:r w:rsidRPr="00E20B9D">
        <w:rPr>
          <w:rFonts w:ascii="Arial" w:hAnsi="Arial" w:cs="Arial"/>
          <w:i/>
          <w:iCs/>
          <w:color w:val="242424"/>
          <w:sz w:val="18"/>
          <w:szCs w:val="18"/>
          <w:shd w:val="clear" w:color="auto" w:fill="FFFFFF"/>
        </w:rPr>
        <w:t xml:space="preserve"> de sociétés de services financiers; la possibilité d’obtenir des financements pour </w:t>
      </w:r>
      <w:r w:rsidRPr="00E20B9D">
        <w:rPr>
          <w:rFonts w:ascii="Arial" w:hAnsi="Arial" w:cs="Arial"/>
          <w:i/>
          <w:iCs/>
          <w:color w:val="242424"/>
          <w:sz w:val="18"/>
          <w:szCs w:val="18"/>
        </w:rPr>
        <w:t>réaliser les stratégies commerciales</w:t>
      </w:r>
      <w:r w:rsidRPr="00E20B9D">
        <w:rPr>
          <w:rFonts w:ascii="Arial" w:hAnsi="Arial" w:cs="Arial"/>
          <w:i/>
          <w:iCs/>
          <w:color w:val="242424"/>
          <w:sz w:val="18"/>
          <w:szCs w:val="18"/>
          <w:shd w:val="clear" w:color="auto" w:fill="FFFFFF"/>
        </w:rPr>
        <w:t xml:space="preserve"> de Stellantis et améliorer ses activités, sa situation financière et ses résultats; un dysfonctionnement</w:t>
      </w:r>
      <w:r w:rsidRPr="00E20B9D">
        <w:rPr>
          <w:rFonts w:ascii="Arial" w:hAnsi="Arial" w:cs="Arial"/>
          <w:i/>
          <w:iCs/>
          <w:color w:val="242424"/>
          <w:sz w:val="18"/>
          <w:szCs w:val="18"/>
        </w:rPr>
        <w:t xml:space="preserve"> majeur</w:t>
      </w:r>
      <w:r w:rsidRPr="00E20B9D">
        <w:rPr>
          <w:rFonts w:ascii="Arial" w:hAnsi="Arial" w:cs="Arial"/>
          <w:i/>
          <w:iCs/>
          <w:color w:val="242424"/>
          <w:sz w:val="18"/>
          <w:szCs w:val="18"/>
          <w:shd w:val="clear" w:color="auto" w:fill="FFFFFF"/>
        </w:rPr>
        <w:t xml:space="preserve">, une perturbation ou une atteinte à la sécurité </w:t>
      </w:r>
      <w:r w:rsidRPr="00E20B9D">
        <w:rPr>
          <w:rFonts w:ascii="Arial" w:hAnsi="Arial" w:cs="Arial"/>
          <w:i/>
          <w:iCs/>
          <w:color w:val="242424"/>
          <w:sz w:val="18"/>
          <w:szCs w:val="18"/>
        </w:rPr>
        <w:t xml:space="preserve">majeure </w:t>
      </w:r>
      <w:r w:rsidRPr="00E20B9D">
        <w:rPr>
          <w:rFonts w:ascii="Arial" w:hAnsi="Arial" w:cs="Arial"/>
          <w:i/>
          <w:iCs/>
          <w:color w:val="242424"/>
          <w:sz w:val="18"/>
          <w:szCs w:val="18"/>
          <w:shd w:val="clear" w:color="auto" w:fill="FFFFFF"/>
        </w:rPr>
        <w:t xml:space="preserve">affectant les systèmes de technologie de l’information ou les systèmes de contrôle électronique </w:t>
      </w:r>
      <w:r w:rsidRPr="00E20B9D">
        <w:rPr>
          <w:rFonts w:ascii="Arial" w:hAnsi="Arial" w:cs="Arial"/>
          <w:i/>
          <w:iCs/>
          <w:color w:val="242424"/>
          <w:sz w:val="18"/>
          <w:szCs w:val="18"/>
        </w:rPr>
        <w:t xml:space="preserve">embarqués </w:t>
      </w:r>
      <w:r w:rsidRPr="00E20B9D">
        <w:rPr>
          <w:rFonts w:ascii="Arial" w:hAnsi="Arial" w:cs="Arial"/>
          <w:i/>
          <w:iCs/>
          <w:color w:val="242424"/>
          <w:sz w:val="18"/>
          <w:szCs w:val="18"/>
          <w:shd w:val="clear" w:color="auto" w:fill="FFFFFF"/>
        </w:rPr>
        <w:t xml:space="preserve">dans les véhicules de Stellantis; la capacité de Stellantis à exploiter les avantages escomptés des ententes de co-entreprise; les perturbations résultant de l’instabilité politique, sociale et économique; les risques associés à nos relations avec les employés, les concessionnaires et les fournisseurs; l’augmentation des coûts, l’interruption de l’approvisionnement ou la pénurie de matières premières, de pièces, de composants et de systèmes utilisés dans les véhicules de Stellantis; l’évolution </w:t>
      </w:r>
      <w:r w:rsidRPr="00E20B9D">
        <w:rPr>
          <w:rFonts w:ascii="Arial" w:hAnsi="Arial" w:cs="Arial"/>
          <w:i/>
          <w:iCs/>
          <w:color w:val="242424"/>
          <w:sz w:val="18"/>
          <w:szCs w:val="18"/>
        </w:rPr>
        <w:t>du marché</w:t>
      </w:r>
      <w:r w:rsidRPr="00E20B9D">
        <w:rPr>
          <w:rFonts w:ascii="Arial" w:hAnsi="Arial" w:cs="Arial"/>
          <w:i/>
          <w:iCs/>
          <w:color w:val="242424"/>
          <w:sz w:val="18"/>
          <w:szCs w:val="18"/>
          <w:shd w:val="clear" w:color="auto" w:fill="FFFFFF"/>
        </w:rPr>
        <w:t xml:space="preserve"> du travail</w:t>
      </w:r>
      <w:r w:rsidRPr="00E20B9D">
        <w:rPr>
          <w:rFonts w:ascii="Arial" w:hAnsi="Arial" w:cs="Arial"/>
          <w:i/>
          <w:iCs/>
          <w:color w:val="242424"/>
          <w:sz w:val="18"/>
          <w:szCs w:val="18"/>
        </w:rPr>
        <w:t xml:space="preserve"> et des conditions de travail </w:t>
      </w:r>
      <w:r w:rsidRPr="00E20B9D">
        <w:rPr>
          <w:rFonts w:ascii="Arial" w:hAnsi="Arial" w:cs="Arial"/>
          <w:i/>
          <w:iCs/>
          <w:color w:val="242424"/>
          <w:sz w:val="18"/>
          <w:szCs w:val="18"/>
          <w:shd w:val="clear" w:color="auto" w:fill="FFFFFF"/>
        </w:rPr>
        <w:t xml:space="preserve">et l’évolution du droit du travail applicable; fluctuations des taux de change, variations des taux d’intérêt, risque de crédit et autres risques </w:t>
      </w:r>
      <w:r w:rsidRPr="00E20B9D">
        <w:rPr>
          <w:rFonts w:ascii="Arial" w:hAnsi="Arial" w:cs="Arial"/>
          <w:i/>
          <w:iCs/>
          <w:color w:val="242424"/>
          <w:sz w:val="18"/>
          <w:szCs w:val="18"/>
        </w:rPr>
        <w:t xml:space="preserve">de </w:t>
      </w:r>
      <w:r w:rsidRPr="00E20B9D">
        <w:rPr>
          <w:rFonts w:ascii="Arial" w:hAnsi="Arial" w:cs="Arial"/>
          <w:i/>
          <w:iCs/>
          <w:color w:val="242424"/>
          <w:sz w:val="18"/>
          <w:szCs w:val="18"/>
          <w:shd w:val="clear" w:color="auto" w:fill="FFFFFF"/>
        </w:rPr>
        <w:t xml:space="preserve">marché; troubles politiques et civils; tremblements de terre ou </w:t>
      </w:r>
      <w:r w:rsidRPr="00E20B9D">
        <w:rPr>
          <w:rFonts w:ascii="Arial" w:hAnsi="Arial" w:cs="Arial"/>
          <w:i/>
          <w:iCs/>
          <w:color w:val="242424"/>
          <w:sz w:val="18"/>
          <w:szCs w:val="18"/>
        </w:rPr>
        <w:t xml:space="preserve">toute </w:t>
      </w:r>
      <w:r w:rsidRPr="00E20B9D">
        <w:rPr>
          <w:rFonts w:ascii="Arial" w:hAnsi="Arial" w:cs="Arial"/>
          <w:i/>
          <w:iCs/>
          <w:color w:val="242424"/>
          <w:sz w:val="18"/>
          <w:szCs w:val="18"/>
          <w:shd w:val="clear" w:color="auto" w:fill="FFFFFF"/>
        </w:rPr>
        <w:t>autre catastrophe; et autres risques et incertitudes.</w:t>
      </w:r>
    </w:p>
    <w:p w14:paraId="5F568162" w14:textId="77777777" w:rsidR="00BF4280" w:rsidRPr="00E20B9D" w:rsidRDefault="00BF4280" w:rsidP="00BF4280">
      <w:pPr>
        <w:spacing w:after="0"/>
        <w:rPr>
          <w:rFonts w:ascii="Arial" w:hAnsi="Arial" w:cs="Arial"/>
          <w:i/>
          <w:iCs/>
          <w:color w:val="242424"/>
          <w:sz w:val="18"/>
          <w:szCs w:val="18"/>
          <w:shd w:val="clear" w:color="auto" w:fill="FFFFFF"/>
        </w:rPr>
      </w:pPr>
      <w:r w:rsidRPr="00E20B9D">
        <w:rPr>
          <w:rFonts w:ascii="Arial" w:hAnsi="Arial" w:cs="Arial"/>
          <w:i/>
          <w:iCs/>
          <w:color w:val="242424"/>
          <w:sz w:val="18"/>
          <w:szCs w:val="18"/>
          <w:shd w:val="clear" w:color="auto" w:fill="FFFFFF"/>
        </w:rPr>
        <w:t xml:space="preserve">Toutes les déclarations prospectives contenues dans la présente communication ne sont valables qu’à la date du présent document et Stellantis rejette toute obligation de mettre à jour ou de réviser les déclarations prospectives. De plus amples renseignements sur Stellantis et ses entreprises, y compris les facteurs qui pourraient avoir une incidence importante sur les résultats financiers de Stellantis, sont inclus dans les rapports et les </w:t>
      </w:r>
      <w:r w:rsidRPr="00E20B9D">
        <w:rPr>
          <w:rFonts w:ascii="Arial" w:hAnsi="Arial" w:cs="Arial"/>
          <w:i/>
          <w:iCs/>
          <w:color w:val="242424"/>
          <w:sz w:val="18"/>
          <w:szCs w:val="18"/>
        </w:rPr>
        <w:t xml:space="preserve">documents </w:t>
      </w:r>
      <w:r w:rsidRPr="00E20B9D">
        <w:rPr>
          <w:rFonts w:ascii="Arial" w:hAnsi="Arial" w:cs="Arial"/>
          <w:i/>
          <w:iCs/>
          <w:color w:val="242424"/>
          <w:sz w:val="18"/>
          <w:szCs w:val="18"/>
          <w:shd w:val="clear" w:color="auto" w:fill="FFFFFF"/>
        </w:rPr>
        <w:t>de Stellantis</w:t>
      </w:r>
      <w:r w:rsidRPr="00E20B9D">
        <w:rPr>
          <w:rFonts w:ascii="Arial" w:hAnsi="Arial" w:cs="Arial"/>
          <w:i/>
          <w:iCs/>
          <w:color w:val="242424"/>
          <w:sz w:val="18"/>
          <w:szCs w:val="18"/>
        </w:rPr>
        <w:t xml:space="preserve"> déposés</w:t>
      </w:r>
      <w:r w:rsidRPr="00E20B9D">
        <w:rPr>
          <w:rFonts w:ascii="Arial" w:hAnsi="Arial" w:cs="Arial"/>
          <w:i/>
          <w:iCs/>
          <w:color w:val="242424"/>
          <w:sz w:val="18"/>
          <w:szCs w:val="18"/>
          <w:shd w:val="clear" w:color="auto" w:fill="FFFFFF"/>
        </w:rPr>
        <w:t xml:space="preserve"> auprès de la Securities and Exchange Commission des États-Unis (SEC) et</w:t>
      </w:r>
      <w:r w:rsidRPr="00E20B9D">
        <w:rPr>
          <w:rFonts w:ascii="Arial" w:hAnsi="Arial" w:cs="Arial"/>
          <w:i/>
          <w:iCs/>
          <w:color w:val="242424"/>
          <w:sz w:val="18"/>
          <w:szCs w:val="18"/>
        </w:rPr>
        <w:t xml:space="preserve"> de l’autorité des marchés financiers Néerlandaise (</w:t>
      </w:r>
      <w:r w:rsidRPr="00E20B9D">
        <w:rPr>
          <w:rFonts w:ascii="Arial" w:hAnsi="Arial" w:cs="Arial"/>
          <w:i/>
          <w:iCs/>
          <w:color w:val="242424"/>
          <w:sz w:val="18"/>
          <w:szCs w:val="18"/>
          <w:shd w:val="clear" w:color="auto" w:fill="FFFFFF"/>
        </w:rPr>
        <w:t>AFM).</w:t>
      </w:r>
    </w:p>
    <w:p w14:paraId="14AE811E" w14:textId="77777777" w:rsidR="00BF4280" w:rsidRDefault="00BF4280" w:rsidP="00BF4280">
      <w:pPr>
        <w:spacing w:after="0"/>
        <w:jc w:val="left"/>
        <w:rPr>
          <w:b/>
          <w:i/>
          <w:sz w:val="16"/>
        </w:rPr>
      </w:pPr>
    </w:p>
    <w:p w14:paraId="4FF70380" w14:textId="67BFFE8A" w:rsidR="00F25553" w:rsidRPr="00834878" w:rsidRDefault="00F25553">
      <w:pPr>
        <w:spacing w:after="0"/>
        <w:jc w:val="left"/>
      </w:pPr>
    </w:p>
    <w:sectPr w:rsidR="00F25553" w:rsidRPr="00834878" w:rsidSect="005D2EA9">
      <w:footerReference w:type="default" r:id="rId23"/>
      <w:headerReference w:type="first" r:id="rId24"/>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E0048" w14:textId="77777777" w:rsidR="002109BB" w:rsidRDefault="002109BB" w:rsidP="008D3E4C">
      <w:r>
        <w:separator/>
      </w:r>
    </w:p>
  </w:endnote>
  <w:endnote w:type="continuationSeparator" w:id="0">
    <w:p w14:paraId="3237AF38" w14:textId="77777777" w:rsidR="002109BB" w:rsidRDefault="002109BB" w:rsidP="008D3E4C">
      <w:r>
        <w:continuationSeparator/>
      </w:r>
    </w:p>
  </w:endnote>
  <w:endnote w:type="continuationNotice" w:id="1">
    <w:p w14:paraId="2F55FE83" w14:textId="77777777" w:rsidR="002109BB" w:rsidRDefault="002109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310139BB-490B-439A-ABCF-24E07827BCC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2" w:fontKey="{67BC436C-BF58-45A7-804D-48B69E7AC671}"/>
    <w:embedBold r:id="rId3" w:fontKey="{505788A6-8C0A-4BEE-BCCF-7363DE01291E}"/>
    <w:embedItalic r:id="rId4" w:fontKey="{BCC38C7D-7037-4BF0-9558-3B0859A1902D}"/>
    <w:embedBoldItalic r:id="rId5" w:fontKey="{1F71F9A2-1743-491F-B143-3F336C8BF3E9}"/>
  </w:font>
  <w:font w:name="Gill Sans Nova Cond XBd">
    <w:charset w:val="00"/>
    <w:family w:val="swiss"/>
    <w:pitch w:val="variable"/>
    <w:sig w:usb0="80000287" w:usb1="00000002" w:usb2="00000000" w:usb3="00000000" w:csb0="0000009F" w:csb1="00000000"/>
  </w:font>
  <w:font w:name="Encode Sans ExpandedSemiBold">
    <w:panose1 w:val="00000000000000000000"/>
    <w:charset w:val="00"/>
    <w:family w:val="auto"/>
    <w:pitch w:val="variable"/>
    <w:sig w:usb0="A00000FF" w:usb1="4000207B" w:usb2="00000000" w:usb3="00000000" w:csb0="00000193" w:csb1="00000000"/>
    <w:embedRegular r:id="rId6" w:fontKey="{C9785E15-E918-4D57-8CA7-3AB24EFCD874}"/>
    <w:embedItalic r:id="rId7" w:fontKey="{E908BBF5-A3C5-480A-9605-8913E9B84E22}"/>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subsetted="1" w:fontKey="{7F262C80-4F59-4948-AA2F-18E7108217A3}"/>
  </w:font>
  <w:font w:name="Arial">
    <w:panose1 w:val="020B0604020202020204"/>
    <w:charset w:val="00"/>
    <w:family w:val="swiss"/>
    <w:pitch w:val="variable"/>
    <w:sig w:usb0="E0002EFF" w:usb1="C000785B" w:usb2="00000009" w:usb3="00000000" w:csb0="000001FF" w:csb1="00000000"/>
    <w:embedItalic r:id="rId9" w:fontKey="{66B22776-021D-4A43-B52C-14D90715D3C9}"/>
    <w:embedBoldItalic r:id="rId10" w:fontKey="{45DED7BA-8148-4240-9811-10B1300F2714}"/>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B37B" w14:textId="0F91A1B7"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336713">
      <w:rPr>
        <w:rStyle w:val="PageNumber"/>
      </w:rPr>
      <w:t>2</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0B90B" w14:textId="77777777" w:rsidR="002109BB" w:rsidRDefault="002109BB" w:rsidP="008D3E4C">
      <w:r>
        <w:separator/>
      </w:r>
    </w:p>
  </w:footnote>
  <w:footnote w:type="continuationSeparator" w:id="0">
    <w:p w14:paraId="054B6878" w14:textId="77777777" w:rsidR="002109BB" w:rsidRDefault="002109BB" w:rsidP="008D3E4C">
      <w:r>
        <w:continuationSeparator/>
      </w:r>
    </w:p>
  </w:footnote>
  <w:footnote w:type="continuationNotice" w:id="1">
    <w:p w14:paraId="71032A00" w14:textId="77777777" w:rsidR="002109BB" w:rsidRDefault="002109B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1EE5F" w14:textId="076ECCF8" w:rsidR="005F2120" w:rsidRDefault="00695736" w:rsidP="008D3E4C">
    <w:pPr>
      <w:pStyle w:val="Header"/>
    </w:pPr>
    <w:r>
      <w:rPr>
        <w:noProof/>
      </w:rPr>
      <mc:AlternateContent>
        <mc:Choice Requires="wps">
          <w:drawing>
            <wp:anchor distT="0" distB="0" distL="114300" distR="114300" simplePos="0" relativeHeight="251660288" behindDoc="0" locked="0" layoutInCell="1" allowOverlap="1" wp14:anchorId="2A964A43" wp14:editId="77F5598F">
              <wp:simplePos x="0" y="0"/>
              <wp:positionH relativeFrom="column">
                <wp:posOffset>-774700</wp:posOffset>
              </wp:positionH>
              <wp:positionV relativeFrom="paragraph">
                <wp:posOffset>-686435</wp:posOffset>
              </wp:positionV>
              <wp:extent cx="277495" cy="2705100"/>
              <wp:effectExtent l="0" t="0" r="8255" b="0"/>
              <wp:wrapNone/>
              <wp:docPr id="1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495" cy="2705100"/>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1BBBE8" w14:textId="77777777" w:rsidR="00D7672E" w:rsidRPr="00683765" w:rsidRDefault="00D7672E" w:rsidP="00D7672E">
                          <w:pPr>
                            <w:pStyle w:val="SPRESSRELEASE-TITLE"/>
                            <w:jc w:val="left"/>
                          </w:pPr>
                          <w:r>
                            <w:t>COMMUNIQUÉ DE PRESSE</w:t>
                          </w:r>
                        </w:p>
                      </w:txbxContent>
                    </wps:txbx>
                    <wps:bodyPr vert="vert270" wrap="square" lIns="25200" tIns="0" rIns="36000" bIns="18000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4A43" id="Freeform 14" o:spid="_x0000_s1026" style="position:absolute;margin-left:-61pt;margin-top:-54.05pt;width:21.85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6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277495,0;0,0;0,2681880;0,2681880;0,2681880;20555,2705100;41110,2681880;41110,2681880;44536,2681880;61666,2662530;78795,2681880;78795,2681880;78795,2681880;99350,2705100;119905,2681880;119905,2681880;119905,2681880;140460,2662530;157590,2681880;157590,2681880;157590,2681880;157590,2681880;157590,2681880;178145,2705100;198700,2681880;198700,2681880;198700,2681880;215829,2662530;236385,2681880;236385,2681880;236385,2681880;256940,2705100;277495,2681880;277495,2681880;277495,2681880;277495,0" o:connectangles="0,0,0,0,0,0,0,0,0,0,0,0,0,0,0,0,0,0,0,0,0,0,0,0,0,0,0,0,0,0,0,0,0,0,0,0" textboxrect="0,0,81,699"/>
              <v:textbox style="layout-flow:vertical;mso-layout-flow-alt:bottom-to-top" inset=".7mm,0,1mm,5mm">
                <w:txbxContent>
                  <w:p w14:paraId="171BBBE8" w14:textId="77777777" w:rsidR="00D7672E" w:rsidRPr="00683765" w:rsidRDefault="00D7672E" w:rsidP="00D7672E">
                    <w:pPr>
                      <w:pStyle w:val="SPRESSRELEASE-TITLE"/>
                      <w:jc w:val="left"/>
                    </w:pPr>
                    <w:r>
                      <w:t>COMMUNIQUÉ DE PRESSE</w:t>
                    </w:r>
                  </w:p>
                </w:txbxContent>
              </v:textbox>
            </v:shape>
          </w:pict>
        </mc:Fallback>
      </mc:AlternateContent>
    </w:r>
    <w:r w:rsidR="006D7798">
      <w:rPr>
        <w:noProof/>
      </w:rPr>
      <mc:AlternateContent>
        <mc:Choice Requires="wps">
          <w:drawing>
            <wp:anchor distT="0" distB="0" distL="114300" distR="114300" simplePos="0" relativeHeight="251662336" behindDoc="0" locked="0" layoutInCell="1" allowOverlap="1" wp14:anchorId="37522DEA" wp14:editId="67D73BCF">
              <wp:simplePos x="0" y="0"/>
              <wp:positionH relativeFrom="column">
                <wp:posOffset>-670104</wp:posOffset>
              </wp:positionH>
              <wp:positionV relativeFrom="paragraph">
                <wp:posOffset>1485900</wp:posOffset>
              </wp:positionV>
              <wp:extent cx="20342" cy="18943"/>
              <wp:effectExtent l="0" t="0" r="0" b="0"/>
              <wp:wrapNone/>
              <wp:docPr id="2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2" cy="18943"/>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pic="http://schemas.openxmlformats.org/drawingml/2006/picture" xmlns:a16="http://schemas.microsoft.com/office/drawing/2014/main" xmlns:a14="http://schemas.microsoft.com/office/drawing/2010/main" xmlns:a="http://schemas.openxmlformats.org/drawingml/2006/main">
          <w:pict w14:anchorId="1B49AAAF">
            <v:oval id="Oval 12" style="position:absolute;margin-left:-52.75pt;margin-top:117pt;width:1.6pt;height:1.5pt;z-index:25166233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243782 [3204]" stroked="f" w14:anchorId="434DEE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"/>
          </w:pict>
        </mc:Fallback>
      </mc:AlternateContent>
    </w:r>
    <w:r w:rsidR="00A33E8D">
      <w:rPr>
        <w:noProof/>
      </w:rPr>
      <mc:AlternateContent>
        <mc:Choice Requires="wpg">
          <w:drawing>
            <wp:anchor distT="0" distB="0" distL="114300" distR="114300" simplePos="0" relativeHeight="251658240" behindDoc="1" locked="1" layoutInCell="1" allowOverlap="1" wp14:anchorId="3EC463CB" wp14:editId="2CD83840">
              <wp:simplePos x="0" y="0"/>
              <wp:positionH relativeFrom="page">
                <wp:posOffset>449580</wp:posOffset>
              </wp:positionH>
              <wp:positionV relativeFrom="page">
                <wp:posOffset>436880</wp:posOffset>
              </wp:positionV>
              <wp:extent cx="269875" cy="233807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38070"/>
                        <a:chOff x="0" y="3175"/>
                        <a:chExt cx="315912" cy="2743200"/>
                      </a:xfrm>
                    </wpg:grpSpPr>
                    <wps:wsp>
                      <wps:cNvPr id="7"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486803FF">
            <v:group id="Groupe 29" style="position:absolute;margin-left:35.4pt;margin-top:34.4pt;width:21.25pt;height:184.1pt;z-index:-251658240;mso-position-horizontal-relative:page;mso-position-vertical-relative:page;mso-width-relative:margin;mso-height-relative:margin" coordsize="3159,27432" coordorigin=",31" o:spid="_x0000_s1026" w14:anchorId="548CC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">
              <o:lock v:ext="edit" aspectratio="t"/>
              <v:rect id="AutoShape 7" style="position:absolute;top:31;width:3159;height:27432;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o:lock v:ext="edit" text="t" aspectratio="t"/>
              </v:rect>
              <v:oval id="Oval 9" style="position:absolute;left:539;top:26638;width:350;height:333;visibility:visible;mso-wrap-style:square;v-text-anchor:top" o:spid="_x0000_s1028" fillcolor="#243782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v:oval id="Oval 10" style="position:absolute;left:1444;top:26638;width:349;height:333;visibility:visible;mso-wrap-style:square;v-text-anchor:top" o:spid="_x0000_s1029" fillcolor="#243782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v:oval id="Oval 11" style="position:absolute;left:2333;top:26638;width:349;height:333;visibility:visible;mso-wrap-style:square;v-text-anchor:top" o:spid="_x0000_s1030" fillcolor="#243782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v:oval id="Oval 12" style="position:absolute;left:1016;top:27241;width:238;height:222;visibility:visible;mso-wrap-style:square;v-text-anchor:top" o:spid="_x0000_s1031" fillcolor="#243782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v:oval id="Oval 13" style="position:absolute;left:1952;top:27241;width:238;height:222;visibility:visible;mso-wrap-style:square;v-text-anchor:top" o:spid="_x0000_s1032" fillcolor="#243782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w10:wrap anchorx="page" anchory="page"/>
              <w10:anchorlock/>
            </v:group>
          </w:pict>
        </mc:Fallback>
      </mc:AlternateContent>
    </w:r>
    <w:r w:rsidR="00A33E8D">
      <w:rPr>
        <w:noProof/>
      </w:rPr>
      <w:drawing>
        <wp:inline distT="0" distB="0" distL="0" distR="0" wp14:anchorId="0939AE78" wp14:editId="04E6E273">
          <wp:extent cx="2317210" cy="718820"/>
          <wp:effectExtent l="0" t="0" r="6985" b="508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472987"/>
    <w:multiLevelType w:val="hybridMultilevel"/>
    <w:tmpl w:val="42AAF0A8"/>
    <w:lvl w:ilvl="0" w:tplc="0F487AF8">
      <w:start w:val="1"/>
      <w:numFmt w:val="bullet"/>
      <w:lvlText w:val=""/>
      <w:lvlJc w:val="left"/>
      <w:pPr>
        <w:ind w:left="927" w:hanging="360"/>
      </w:pPr>
      <w:rPr>
        <w:rFonts w:ascii="Symbol" w:hAnsi="Symbol" w:hint="default"/>
        <w:lang w:val="en-G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487B36"/>
    <w:multiLevelType w:val="hybridMultilevel"/>
    <w:tmpl w:val="44062F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8D405CA"/>
    <w:multiLevelType w:val="hybridMultilevel"/>
    <w:tmpl w:val="AE42BE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A6846D2"/>
    <w:multiLevelType w:val="hybridMultilevel"/>
    <w:tmpl w:val="2D6C0B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31D554F"/>
    <w:multiLevelType w:val="hybridMultilevel"/>
    <w:tmpl w:val="20364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8A904A5"/>
    <w:multiLevelType w:val="hybridMultilevel"/>
    <w:tmpl w:val="C61A91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68D6324"/>
    <w:multiLevelType w:val="hybridMultilevel"/>
    <w:tmpl w:val="4DB2FC66"/>
    <w:lvl w:ilvl="0" w:tplc="968AAE8E">
      <w:start w:val="1"/>
      <w:numFmt w:val="bullet"/>
      <w:lvlText w:val="·"/>
      <w:lvlJc w:val="left"/>
      <w:pPr>
        <w:ind w:left="720" w:hanging="360"/>
      </w:pPr>
      <w:rPr>
        <w:rFonts w:ascii="Symbol" w:hAnsi="Symbol" w:hint="default"/>
      </w:rPr>
    </w:lvl>
    <w:lvl w:ilvl="1" w:tplc="0368E858">
      <w:start w:val="1"/>
      <w:numFmt w:val="bullet"/>
      <w:lvlText w:val="o"/>
      <w:lvlJc w:val="left"/>
      <w:pPr>
        <w:ind w:left="1440" w:hanging="360"/>
      </w:pPr>
      <w:rPr>
        <w:rFonts w:ascii="Courier New" w:hAnsi="Courier New" w:hint="default"/>
      </w:rPr>
    </w:lvl>
    <w:lvl w:ilvl="2" w:tplc="25A6BD44">
      <w:start w:val="1"/>
      <w:numFmt w:val="bullet"/>
      <w:lvlText w:val=""/>
      <w:lvlJc w:val="left"/>
      <w:pPr>
        <w:ind w:left="2160" w:hanging="360"/>
      </w:pPr>
      <w:rPr>
        <w:rFonts w:ascii="Wingdings" w:hAnsi="Wingdings" w:hint="default"/>
      </w:rPr>
    </w:lvl>
    <w:lvl w:ilvl="3" w:tplc="7228E2CC">
      <w:start w:val="1"/>
      <w:numFmt w:val="bullet"/>
      <w:lvlText w:val=""/>
      <w:lvlJc w:val="left"/>
      <w:pPr>
        <w:ind w:left="2880" w:hanging="360"/>
      </w:pPr>
      <w:rPr>
        <w:rFonts w:ascii="Symbol" w:hAnsi="Symbol" w:hint="default"/>
      </w:rPr>
    </w:lvl>
    <w:lvl w:ilvl="4" w:tplc="60BEC562">
      <w:start w:val="1"/>
      <w:numFmt w:val="bullet"/>
      <w:lvlText w:val="o"/>
      <w:lvlJc w:val="left"/>
      <w:pPr>
        <w:ind w:left="3600" w:hanging="360"/>
      </w:pPr>
      <w:rPr>
        <w:rFonts w:ascii="Courier New" w:hAnsi="Courier New" w:hint="default"/>
      </w:rPr>
    </w:lvl>
    <w:lvl w:ilvl="5" w:tplc="C706EEF2">
      <w:start w:val="1"/>
      <w:numFmt w:val="bullet"/>
      <w:lvlText w:val=""/>
      <w:lvlJc w:val="left"/>
      <w:pPr>
        <w:ind w:left="4320" w:hanging="360"/>
      </w:pPr>
      <w:rPr>
        <w:rFonts w:ascii="Wingdings" w:hAnsi="Wingdings" w:hint="default"/>
      </w:rPr>
    </w:lvl>
    <w:lvl w:ilvl="6" w:tplc="4E3CA392">
      <w:start w:val="1"/>
      <w:numFmt w:val="bullet"/>
      <w:lvlText w:val=""/>
      <w:lvlJc w:val="left"/>
      <w:pPr>
        <w:ind w:left="5040" w:hanging="360"/>
      </w:pPr>
      <w:rPr>
        <w:rFonts w:ascii="Symbol" w:hAnsi="Symbol" w:hint="default"/>
      </w:rPr>
    </w:lvl>
    <w:lvl w:ilvl="7" w:tplc="93B4DDA2">
      <w:start w:val="1"/>
      <w:numFmt w:val="bullet"/>
      <w:lvlText w:val="o"/>
      <w:lvlJc w:val="left"/>
      <w:pPr>
        <w:ind w:left="5760" w:hanging="360"/>
      </w:pPr>
      <w:rPr>
        <w:rFonts w:ascii="Courier New" w:hAnsi="Courier New" w:hint="default"/>
      </w:rPr>
    </w:lvl>
    <w:lvl w:ilvl="8" w:tplc="09183582">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9"/>
  </w:num>
  <w:num w:numId="14">
    <w:abstractNumId w:val="11"/>
  </w:num>
  <w:num w:numId="15">
    <w:abstractNumId w:val="12"/>
  </w:num>
  <w:num w:numId="16">
    <w:abstractNumId w:val="10"/>
  </w:num>
  <w:num w:numId="17">
    <w:abstractNumId w:val="13"/>
  </w:num>
  <w:num w:numId="18">
    <w:abstractNumId w:val="16"/>
  </w:num>
  <w:num w:numId="19">
    <w:abstractNumId w:val="18"/>
  </w:num>
  <w:num w:numId="20">
    <w:abstractNumId w:val="15"/>
  </w:num>
  <w:num w:numId="21">
    <w:abstractNumId w:val="17"/>
  </w:num>
  <w:num w:numId="22">
    <w:abstractNumId w:val="14"/>
  </w:num>
  <w:num w:numId="23">
    <w:abstractNumId w:val="18"/>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4BBD"/>
    <w:rsid w:val="0000647C"/>
    <w:rsid w:val="0001069D"/>
    <w:rsid w:val="0001260F"/>
    <w:rsid w:val="00012B7F"/>
    <w:rsid w:val="00013CCC"/>
    <w:rsid w:val="000153C5"/>
    <w:rsid w:val="00015E27"/>
    <w:rsid w:val="000223C9"/>
    <w:rsid w:val="00026A3C"/>
    <w:rsid w:val="000416D1"/>
    <w:rsid w:val="000453AB"/>
    <w:rsid w:val="0004576C"/>
    <w:rsid w:val="00047410"/>
    <w:rsid w:val="000514BB"/>
    <w:rsid w:val="00051ED4"/>
    <w:rsid w:val="00060FCF"/>
    <w:rsid w:val="00077AF5"/>
    <w:rsid w:val="00080B19"/>
    <w:rsid w:val="00085FBB"/>
    <w:rsid w:val="0008667A"/>
    <w:rsid w:val="00087516"/>
    <w:rsid w:val="00087566"/>
    <w:rsid w:val="00087F15"/>
    <w:rsid w:val="000A7C3E"/>
    <w:rsid w:val="000B0C4E"/>
    <w:rsid w:val="000B23B2"/>
    <w:rsid w:val="000B314F"/>
    <w:rsid w:val="000B646F"/>
    <w:rsid w:val="000C168A"/>
    <w:rsid w:val="000C264D"/>
    <w:rsid w:val="000C521F"/>
    <w:rsid w:val="000D3188"/>
    <w:rsid w:val="000D7546"/>
    <w:rsid w:val="000E0137"/>
    <w:rsid w:val="000E184A"/>
    <w:rsid w:val="000E6271"/>
    <w:rsid w:val="000F2CB1"/>
    <w:rsid w:val="000F2DDD"/>
    <w:rsid w:val="000F2FE8"/>
    <w:rsid w:val="001049CB"/>
    <w:rsid w:val="00107612"/>
    <w:rsid w:val="001131EE"/>
    <w:rsid w:val="001172BD"/>
    <w:rsid w:val="00117C3B"/>
    <w:rsid w:val="001226B4"/>
    <w:rsid w:val="00126E5A"/>
    <w:rsid w:val="0013042E"/>
    <w:rsid w:val="0014014F"/>
    <w:rsid w:val="00140A24"/>
    <w:rsid w:val="00145093"/>
    <w:rsid w:val="001450C7"/>
    <w:rsid w:val="001454F8"/>
    <w:rsid w:val="00150AD4"/>
    <w:rsid w:val="001526F6"/>
    <w:rsid w:val="00152B10"/>
    <w:rsid w:val="00155023"/>
    <w:rsid w:val="0015732F"/>
    <w:rsid w:val="0016306D"/>
    <w:rsid w:val="0016315D"/>
    <w:rsid w:val="00163432"/>
    <w:rsid w:val="001644E0"/>
    <w:rsid w:val="001670D3"/>
    <w:rsid w:val="00172396"/>
    <w:rsid w:val="00173F92"/>
    <w:rsid w:val="001762CB"/>
    <w:rsid w:val="00182345"/>
    <w:rsid w:val="00182D52"/>
    <w:rsid w:val="001849DD"/>
    <w:rsid w:val="001933FB"/>
    <w:rsid w:val="00194726"/>
    <w:rsid w:val="00194EDF"/>
    <w:rsid w:val="00195CBD"/>
    <w:rsid w:val="00196F16"/>
    <w:rsid w:val="0019781F"/>
    <w:rsid w:val="001A0268"/>
    <w:rsid w:val="001A032B"/>
    <w:rsid w:val="001A040B"/>
    <w:rsid w:val="001A09D0"/>
    <w:rsid w:val="001A1468"/>
    <w:rsid w:val="001A4120"/>
    <w:rsid w:val="001A52E3"/>
    <w:rsid w:val="001B0085"/>
    <w:rsid w:val="001B591C"/>
    <w:rsid w:val="001B6F01"/>
    <w:rsid w:val="001C0FF2"/>
    <w:rsid w:val="001C4407"/>
    <w:rsid w:val="001C5C81"/>
    <w:rsid w:val="001C6398"/>
    <w:rsid w:val="001C741A"/>
    <w:rsid w:val="001D168B"/>
    <w:rsid w:val="001D3442"/>
    <w:rsid w:val="001D6947"/>
    <w:rsid w:val="001D727B"/>
    <w:rsid w:val="001D7F44"/>
    <w:rsid w:val="001E0083"/>
    <w:rsid w:val="001E2626"/>
    <w:rsid w:val="001E5F48"/>
    <w:rsid w:val="001E6C1E"/>
    <w:rsid w:val="001F4703"/>
    <w:rsid w:val="001F4988"/>
    <w:rsid w:val="001F4F25"/>
    <w:rsid w:val="001F57D8"/>
    <w:rsid w:val="002005E5"/>
    <w:rsid w:val="00200FF8"/>
    <w:rsid w:val="002017E9"/>
    <w:rsid w:val="00202B1D"/>
    <w:rsid w:val="00203374"/>
    <w:rsid w:val="00206C1E"/>
    <w:rsid w:val="002109BB"/>
    <w:rsid w:val="0021111E"/>
    <w:rsid w:val="0021219E"/>
    <w:rsid w:val="00214443"/>
    <w:rsid w:val="00214D7E"/>
    <w:rsid w:val="00214F89"/>
    <w:rsid w:val="002150FA"/>
    <w:rsid w:val="00220603"/>
    <w:rsid w:val="00220D0A"/>
    <w:rsid w:val="00222AF7"/>
    <w:rsid w:val="00224AD7"/>
    <w:rsid w:val="0022588D"/>
    <w:rsid w:val="0022597E"/>
    <w:rsid w:val="0023089D"/>
    <w:rsid w:val="002324C2"/>
    <w:rsid w:val="0023542B"/>
    <w:rsid w:val="0023617F"/>
    <w:rsid w:val="00240236"/>
    <w:rsid w:val="00242220"/>
    <w:rsid w:val="00245A68"/>
    <w:rsid w:val="00246909"/>
    <w:rsid w:val="00250B43"/>
    <w:rsid w:val="00250D80"/>
    <w:rsid w:val="002536CA"/>
    <w:rsid w:val="00253AD7"/>
    <w:rsid w:val="00254AAC"/>
    <w:rsid w:val="00255892"/>
    <w:rsid w:val="00257500"/>
    <w:rsid w:val="002602D5"/>
    <w:rsid w:val="00260F0A"/>
    <w:rsid w:val="00264F01"/>
    <w:rsid w:val="00265398"/>
    <w:rsid w:val="002703FF"/>
    <w:rsid w:val="00271869"/>
    <w:rsid w:val="002776BE"/>
    <w:rsid w:val="00280188"/>
    <w:rsid w:val="002836DD"/>
    <w:rsid w:val="00285334"/>
    <w:rsid w:val="00291957"/>
    <w:rsid w:val="00293C9C"/>
    <w:rsid w:val="00293E0C"/>
    <w:rsid w:val="00294552"/>
    <w:rsid w:val="002A05EC"/>
    <w:rsid w:val="002A3B69"/>
    <w:rsid w:val="002A41E2"/>
    <w:rsid w:val="002A695A"/>
    <w:rsid w:val="002A742D"/>
    <w:rsid w:val="002A7AA8"/>
    <w:rsid w:val="002B0F68"/>
    <w:rsid w:val="002B365A"/>
    <w:rsid w:val="002B4562"/>
    <w:rsid w:val="002B4A15"/>
    <w:rsid w:val="002B736A"/>
    <w:rsid w:val="002C508D"/>
    <w:rsid w:val="002C56ED"/>
    <w:rsid w:val="002C7A48"/>
    <w:rsid w:val="002D073F"/>
    <w:rsid w:val="002D0EC4"/>
    <w:rsid w:val="002D52A5"/>
    <w:rsid w:val="002D63E2"/>
    <w:rsid w:val="002E0234"/>
    <w:rsid w:val="002E25EB"/>
    <w:rsid w:val="002E7C5F"/>
    <w:rsid w:val="002E7E74"/>
    <w:rsid w:val="002F3470"/>
    <w:rsid w:val="002F60AD"/>
    <w:rsid w:val="002F705B"/>
    <w:rsid w:val="00301602"/>
    <w:rsid w:val="00301A50"/>
    <w:rsid w:val="0030264D"/>
    <w:rsid w:val="00310C7D"/>
    <w:rsid w:val="0031283D"/>
    <w:rsid w:val="00314B0F"/>
    <w:rsid w:val="00317A01"/>
    <w:rsid w:val="00322BCE"/>
    <w:rsid w:val="00323A33"/>
    <w:rsid w:val="003244DD"/>
    <w:rsid w:val="003265D6"/>
    <w:rsid w:val="00330B5A"/>
    <w:rsid w:val="00330D7E"/>
    <w:rsid w:val="00332306"/>
    <w:rsid w:val="00336713"/>
    <w:rsid w:val="00344A1B"/>
    <w:rsid w:val="00345D9E"/>
    <w:rsid w:val="00352C28"/>
    <w:rsid w:val="0035414D"/>
    <w:rsid w:val="00361849"/>
    <w:rsid w:val="0036254D"/>
    <w:rsid w:val="00362DF0"/>
    <w:rsid w:val="0036683D"/>
    <w:rsid w:val="00367505"/>
    <w:rsid w:val="0037338E"/>
    <w:rsid w:val="00377DAE"/>
    <w:rsid w:val="003864AD"/>
    <w:rsid w:val="00390E1B"/>
    <w:rsid w:val="00397A87"/>
    <w:rsid w:val="003A18AD"/>
    <w:rsid w:val="003A27C8"/>
    <w:rsid w:val="003A43AA"/>
    <w:rsid w:val="003A685B"/>
    <w:rsid w:val="003B05FA"/>
    <w:rsid w:val="003B0E66"/>
    <w:rsid w:val="003B3E02"/>
    <w:rsid w:val="003B4DF5"/>
    <w:rsid w:val="003B6523"/>
    <w:rsid w:val="003B6E8A"/>
    <w:rsid w:val="003C237C"/>
    <w:rsid w:val="003C4265"/>
    <w:rsid w:val="003C51FB"/>
    <w:rsid w:val="003D0050"/>
    <w:rsid w:val="003D018F"/>
    <w:rsid w:val="003D3AEB"/>
    <w:rsid w:val="003D7458"/>
    <w:rsid w:val="003E36C9"/>
    <w:rsid w:val="003E669C"/>
    <w:rsid w:val="003E6849"/>
    <w:rsid w:val="003E68CC"/>
    <w:rsid w:val="003E727D"/>
    <w:rsid w:val="003F0B8F"/>
    <w:rsid w:val="003F0EAF"/>
    <w:rsid w:val="003F248C"/>
    <w:rsid w:val="003F58C4"/>
    <w:rsid w:val="00402107"/>
    <w:rsid w:val="004022B4"/>
    <w:rsid w:val="004041BE"/>
    <w:rsid w:val="00412C54"/>
    <w:rsid w:val="00413B95"/>
    <w:rsid w:val="00414A35"/>
    <w:rsid w:val="00424EDE"/>
    <w:rsid w:val="00424FC8"/>
    <w:rsid w:val="00425677"/>
    <w:rsid w:val="00427ABE"/>
    <w:rsid w:val="00427EA4"/>
    <w:rsid w:val="00430E80"/>
    <w:rsid w:val="00433B81"/>
    <w:rsid w:val="00433EDD"/>
    <w:rsid w:val="00435A04"/>
    <w:rsid w:val="00435C62"/>
    <w:rsid w:val="00436D55"/>
    <w:rsid w:val="00437617"/>
    <w:rsid w:val="00440372"/>
    <w:rsid w:val="0044219E"/>
    <w:rsid w:val="0044395F"/>
    <w:rsid w:val="00443D46"/>
    <w:rsid w:val="004442AA"/>
    <w:rsid w:val="00445090"/>
    <w:rsid w:val="00447B69"/>
    <w:rsid w:val="004502CD"/>
    <w:rsid w:val="00450E0B"/>
    <w:rsid w:val="00451A29"/>
    <w:rsid w:val="0045216F"/>
    <w:rsid w:val="00452D5D"/>
    <w:rsid w:val="004532A2"/>
    <w:rsid w:val="004532D9"/>
    <w:rsid w:val="00454BB9"/>
    <w:rsid w:val="00457227"/>
    <w:rsid w:val="00459F05"/>
    <w:rsid w:val="00461D07"/>
    <w:rsid w:val="00461F94"/>
    <w:rsid w:val="00462013"/>
    <w:rsid w:val="00464B4C"/>
    <w:rsid w:val="00466159"/>
    <w:rsid w:val="00466436"/>
    <w:rsid w:val="00467F14"/>
    <w:rsid w:val="00470F7B"/>
    <w:rsid w:val="00475F6C"/>
    <w:rsid w:val="0047676A"/>
    <w:rsid w:val="004768AE"/>
    <w:rsid w:val="004769AB"/>
    <w:rsid w:val="004825A5"/>
    <w:rsid w:val="00482802"/>
    <w:rsid w:val="00484232"/>
    <w:rsid w:val="004847DE"/>
    <w:rsid w:val="0048553C"/>
    <w:rsid w:val="004856DB"/>
    <w:rsid w:val="0049014C"/>
    <w:rsid w:val="00490516"/>
    <w:rsid w:val="004933C9"/>
    <w:rsid w:val="004B13C3"/>
    <w:rsid w:val="004B536B"/>
    <w:rsid w:val="004C0862"/>
    <w:rsid w:val="004C095D"/>
    <w:rsid w:val="004C0A57"/>
    <w:rsid w:val="004C1CD5"/>
    <w:rsid w:val="004D3C90"/>
    <w:rsid w:val="004D61EA"/>
    <w:rsid w:val="004D6A7C"/>
    <w:rsid w:val="004E0E03"/>
    <w:rsid w:val="004E13CD"/>
    <w:rsid w:val="004E1726"/>
    <w:rsid w:val="004E26BC"/>
    <w:rsid w:val="004F0DAA"/>
    <w:rsid w:val="004F27AD"/>
    <w:rsid w:val="004F3B45"/>
    <w:rsid w:val="004F42AC"/>
    <w:rsid w:val="004F43FB"/>
    <w:rsid w:val="004F526B"/>
    <w:rsid w:val="004F792E"/>
    <w:rsid w:val="004F7BBA"/>
    <w:rsid w:val="004F7D4E"/>
    <w:rsid w:val="00500BF5"/>
    <w:rsid w:val="00501A19"/>
    <w:rsid w:val="00505805"/>
    <w:rsid w:val="00514713"/>
    <w:rsid w:val="00515169"/>
    <w:rsid w:val="0052116F"/>
    <w:rsid w:val="0052611A"/>
    <w:rsid w:val="005329C0"/>
    <w:rsid w:val="00542200"/>
    <w:rsid w:val="00544345"/>
    <w:rsid w:val="00544E76"/>
    <w:rsid w:val="00550A0F"/>
    <w:rsid w:val="00551642"/>
    <w:rsid w:val="0055479C"/>
    <w:rsid w:val="00555A72"/>
    <w:rsid w:val="005606D8"/>
    <w:rsid w:val="005628EE"/>
    <w:rsid w:val="00562D3D"/>
    <w:rsid w:val="0056329B"/>
    <w:rsid w:val="00563EE0"/>
    <w:rsid w:val="005643DD"/>
    <w:rsid w:val="0056640E"/>
    <w:rsid w:val="005710F2"/>
    <w:rsid w:val="00576DE5"/>
    <w:rsid w:val="00576DFF"/>
    <w:rsid w:val="00581942"/>
    <w:rsid w:val="00582849"/>
    <w:rsid w:val="00584808"/>
    <w:rsid w:val="00585334"/>
    <w:rsid w:val="00585EF8"/>
    <w:rsid w:val="00586F54"/>
    <w:rsid w:val="005877B1"/>
    <w:rsid w:val="00590749"/>
    <w:rsid w:val="0059213B"/>
    <w:rsid w:val="00595FF8"/>
    <w:rsid w:val="005A08A4"/>
    <w:rsid w:val="005A3500"/>
    <w:rsid w:val="005A61C0"/>
    <w:rsid w:val="005B024F"/>
    <w:rsid w:val="005B60E2"/>
    <w:rsid w:val="005B6B94"/>
    <w:rsid w:val="005C2527"/>
    <w:rsid w:val="005C775F"/>
    <w:rsid w:val="005C7CE7"/>
    <w:rsid w:val="005D1D6D"/>
    <w:rsid w:val="005D2EA9"/>
    <w:rsid w:val="005D4221"/>
    <w:rsid w:val="005E0A67"/>
    <w:rsid w:val="005E3083"/>
    <w:rsid w:val="005E4DC1"/>
    <w:rsid w:val="005E531F"/>
    <w:rsid w:val="005E5E53"/>
    <w:rsid w:val="005E7395"/>
    <w:rsid w:val="005E773D"/>
    <w:rsid w:val="005E7FF7"/>
    <w:rsid w:val="005F16F5"/>
    <w:rsid w:val="005F2120"/>
    <w:rsid w:val="005F43A7"/>
    <w:rsid w:val="005F444C"/>
    <w:rsid w:val="005F5105"/>
    <w:rsid w:val="006043B1"/>
    <w:rsid w:val="00606511"/>
    <w:rsid w:val="00614312"/>
    <w:rsid w:val="0061682B"/>
    <w:rsid w:val="0061797E"/>
    <w:rsid w:val="00617D74"/>
    <w:rsid w:val="006223A6"/>
    <w:rsid w:val="00625970"/>
    <w:rsid w:val="00626880"/>
    <w:rsid w:val="00626CFF"/>
    <w:rsid w:val="00630874"/>
    <w:rsid w:val="00633314"/>
    <w:rsid w:val="006372CD"/>
    <w:rsid w:val="00644D00"/>
    <w:rsid w:val="006459A4"/>
    <w:rsid w:val="00646166"/>
    <w:rsid w:val="006559F9"/>
    <w:rsid w:val="00655A10"/>
    <w:rsid w:val="006567E9"/>
    <w:rsid w:val="00663596"/>
    <w:rsid w:val="00666A99"/>
    <w:rsid w:val="00675FAB"/>
    <w:rsid w:val="0068144A"/>
    <w:rsid w:val="00682310"/>
    <w:rsid w:val="00687E24"/>
    <w:rsid w:val="006923F0"/>
    <w:rsid w:val="00692561"/>
    <w:rsid w:val="006935E2"/>
    <w:rsid w:val="00695736"/>
    <w:rsid w:val="006A02E3"/>
    <w:rsid w:val="006A1003"/>
    <w:rsid w:val="006A2628"/>
    <w:rsid w:val="006A26AD"/>
    <w:rsid w:val="006A283E"/>
    <w:rsid w:val="006A3163"/>
    <w:rsid w:val="006A57D7"/>
    <w:rsid w:val="006B0DE2"/>
    <w:rsid w:val="006B165F"/>
    <w:rsid w:val="006B3AA2"/>
    <w:rsid w:val="006B3EDE"/>
    <w:rsid w:val="006B5C7E"/>
    <w:rsid w:val="006C2295"/>
    <w:rsid w:val="006C236C"/>
    <w:rsid w:val="006D0648"/>
    <w:rsid w:val="006D216C"/>
    <w:rsid w:val="006D3118"/>
    <w:rsid w:val="006D4425"/>
    <w:rsid w:val="006D5830"/>
    <w:rsid w:val="006D5E16"/>
    <w:rsid w:val="006D7798"/>
    <w:rsid w:val="006E09D2"/>
    <w:rsid w:val="006E27BF"/>
    <w:rsid w:val="006E7F6B"/>
    <w:rsid w:val="006F021B"/>
    <w:rsid w:val="006F0FFC"/>
    <w:rsid w:val="006F1D40"/>
    <w:rsid w:val="006F2EF5"/>
    <w:rsid w:val="006F4BA9"/>
    <w:rsid w:val="0070089A"/>
    <w:rsid w:val="00700983"/>
    <w:rsid w:val="00700BB5"/>
    <w:rsid w:val="00700EE2"/>
    <w:rsid w:val="0070195E"/>
    <w:rsid w:val="00701AE7"/>
    <w:rsid w:val="00704454"/>
    <w:rsid w:val="007054D6"/>
    <w:rsid w:val="007105ED"/>
    <w:rsid w:val="00721ED3"/>
    <w:rsid w:val="00722F97"/>
    <w:rsid w:val="00725131"/>
    <w:rsid w:val="007277EC"/>
    <w:rsid w:val="00727B77"/>
    <w:rsid w:val="00732990"/>
    <w:rsid w:val="00733FC9"/>
    <w:rsid w:val="00741542"/>
    <w:rsid w:val="00742792"/>
    <w:rsid w:val="0074757C"/>
    <w:rsid w:val="007506EF"/>
    <w:rsid w:val="00753A05"/>
    <w:rsid w:val="00753DC5"/>
    <w:rsid w:val="0075449B"/>
    <w:rsid w:val="007569CC"/>
    <w:rsid w:val="00760EFF"/>
    <w:rsid w:val="00761F0E"/>
    <w:rsid w:val="0076498D"/>
    <w:rsid w:val="00764CCE"/>
    <w:rsid w:val="00766090"/>
    <w:rsid w:val="007662D2"/>
    <w:rsid w:val="007678B6"/>
    <w:rsid w:val="00770B52"/>
    <w:rsid w:val="007728D8"/>
    <w:rsid w:val="007765CF"/>
    <w:rsid w:val="00776F82"/>
    <w:rsid w:val="007819D6"/>
    <w:rsid w:val="00782D3B"/>
    <w:rsid w:val="00782D99"/>
    <w:rsid w:val="0078538B"/>
    <w:rsid w:val="00785DC4"/>
    <w:rsid w:val="007932EA"/>
    <w:rsid w:val="00797622"/>
    <w:rsid w:val="007A3B7E"/>
    <w:rsid w:val="007A46E2"/>
    <w:rsid w:val="007A5A6C"/>
    <w:rsid w:val="007A67F9"/>
    <w:rsid w:val="007B25D4"/>
    <w:rsid w:val="007B5AFE"/>
    <w:rsid w:val="007B6150"/>
    <w:rsid w:val="007B66E9"/>
    <w:rsid w:val="007C2AFC"/>
    <w:rsid w:val="007C2B08"/>
    <w:rsid w:val="007C2F7B"/>
    <w:rsid w:val="007C6D04"/>
    <w:rsid w:val="007D2763"/>
    <w:rsid w:val="007D2E37"/>
    <w:rsid w:val="007D78AB"/>
    <w:rsid w:val="007E317D"/>
    <w:rsid w:val="007E50BA"/>
    <w:rsid w:val="007E51A2"/>
    <w:rsid w:val="007E57C9"/>
    <w:rsid w:val="007E6204"/>
    <w:rsid w:val="007E631F"/>
    <w:rsid w:val="007F26FA"/>
    <w:rsid w:val="007F499B"/>
    <w:rsid w:val="00801DAB"/>
    <w:rsid w:val="0080313B"/>
    <w:rsid w:val="00805FAA"/>
    <w:rsid w:val="00807688"/>
    <w:rsid w:val="008124BD"/>
    <w:rsid w:val="00814F5E"/>
    <w:rsid w:val="00815B14"/>
    <w:rsid w:val="0082060B"/>
    <w:rsid w:val="008241B4"/>
    <w:rsid w:val="00824EC8"/>
    <w:rsid w:val="00825163"/>
    <w:rsid w:val="00827DA1"/>
    <w:rsid w:val="00832AA3"/>
    <w:rsid w:val="00834878"/>
    <w:rsid w:val="0083673F"/>
    <w:rsid w:val="00836E88"/>
    <w:rsid w:val="0084050F"/>
    <w:rsid w:val="00840D0A"/>
    <w:rsid w:val="00840F1B"/>
    <w:rsid w:val="0084317E"/>
    <w:rsid w:val="00844956"/>
    <w:rsid w:val="00844F9C"/>
    <w:rsid w:val="00846D37"/>
    <w:rsid w:val="00850085"/>
    <w:rsid w:val="008510A8"/>
    <w:rsid w:val="00851585"/>
    <w:rsid w:val="00851B02"/>
    <w:rsid w:val="008540AD"/>
    <w:rsid w:val="00854D82"/>
    <w:rsid w:val="00855C3A"/>
    <w:rsid w:val="00856A26"/>
    <w:rsid w:val="0086198E"/>
    <w:rsid w:val="00863583"/>
    <w:rsid w:val="00863B8F"/>
    <w:rsid w:val="0086416D"/>
    <w:rsid w:val="00867836"/>
    <w:rsid w:val="00873EC0"/>
    <w:rsid w:val="00877117"/>
    <w:rsid w:val="00881498"/>
    <w:rsid w:val="008814F4"/>
    <w:rsid w:val="00883A5F"/>
    <w:rsid w:val="00895B3A"/>
    <w:rsid w:val="008A0F8F"/>
    <w:rsid w:val="008A34B3"/>
    <w:rsid w:val="008A584A"/>
    <w:rsid w:val="008B44B1"/>
    <w:rsid w:val="008B4CD5"/>
    <w:rsid w:val="008B50AB"/>
    <w:rsid w:val="008B5FAA"/>
    <w:rsid w:val="008B6945"/>
    <w:rsid w:val="008B718E"/>
    <w:rsid w:val="008C09B5"/>
    <w:rsid w:val="008C1D45"/>
    <w:rsid w:val="008C6A96"/>
    <w:rsid w:val="008D3E4C"/>
    <w:rsid w:val="008D4E1C"/>
    <w:rsid w:val="008D6F10"/>
    <w:rsid w:val="008E1796"/>
    <w:rsid w:val="008E33BF"/>
    <w:rsid w:val="008E4EAE"/>
    <w:rsid w:val="008E6712"/>
    <w:rsid w:val="008F0F07"/>
    <w:rsid w:val="008F2A13"/>
    <w:rsid w:val="008F2B0E"/>
    <w:rsid w:val="008F32E4"/>
    <w:rsid w:val="008F3FF9"/>
    <w:rsid w:val="00901FAE"/>
    <w:rsid w:val="00911305"/>
    <w:rsid w:val="00912B3F"/>
    <w:rsid w:val="00925C7D"/>
    <w:rsid w:val="00927FD3"/>
    <w:rsid w:val="00930E86"/>
    <w:rsid w:val="00932543"/>
    <w:rsid w:val="00937413"/>
    <w:rsid w:val="00937797"/>
    <w:rsid w:val="009415F3"/>
    <w:rsid w:val="009421A3"/>
    <w:rsid w:val="009425CF"/>
    <w:rsid w:val="00945632"/>
    <w:rsid w:val="0095003F"/>
    <w:rsid w:val="00950FC5"/>
    <w:rsid w:val="00951E83"/>
    <w:rsid w:val="0095609A"/>
    <w:rsid w:val="00961453"/>
    <w:rsid w:val="00962D51"/>
    <w:rsid w:val="00963FA7"/>
    <w:rsid w:val="00964323"/>
    <w:rsid w:val="00964734"/>
    <w:rsid w:val="00966414"/>
    <w:rsid w:val="00966D44"/>
    <w:rsid w:val="00972D05"/>
    <w:rsid w:val="00974B8D"/>
    <w:rsid w:val="00974F43"/>
    <w:rsid w:val="0097688B"/>
    <w:rsid w:val="00977E0F"/>
    <w:rsid w:val="00981BEE"/>
    <w:rsid w:val="009861F4"/>
    <w:rsid w:val="0099268F"/>
    <w:rsid w:val="00992BE1"/>
    <w:rsid w:val="009943BA"/>
    <w:rsid w:val="009950D2"/>
    <w:rsid w:val="009962CD"/>
    <w:rsid w:val="009968C5"/>
    <w:rsid w:val="00997A0F"/>
    <w:rsid w:val="009A12F3"/>
    <w:rsid w:val="009A1B4B"/>
    <w:rsid w:val="009A1EB5"/>
    <w:rsid w:val="009A23AB"/>
    <w:rsid w:val="009A2EFC"/>
    <w:rsid w:val="009B2B60"/>
    <w:rsid w:val="009B4B50"/>
    <w:rsid w:val="009B52E3"/>
    <w:rsid w:val="009B5F24"/>
    <w:rsid w:val="009C04EC"/>
    <w:rsid w:val="009C33F1"/>
    <w:rsid w:val="009C594E"/>
    <w:rsid w:val="009C6270"/>
    <w:rsid w:val="009C6680"/>
    <w:rsid w:val="009D0A59"/>
    <w:rsid w:val="009D180E"/>
    <w:rsid w:val="009D3058"/>
    <w:rsid w:val="009D5F52"/>
    <w:rsid w:val="009D79F4"/>
    <w:rsid w:val="009E02D6"/>
    <w:rsid w:val="009E0EFB"/>
    <w:rsid w:val="009E2C32"/>
    <w:rsid w:val="009E30E9"/>
    <w:rsid w:val="009E3D5C"/>
    <w:rsid w:val="009E755D"/>
    <w:rsid w:val="009F1594"/>
    <w:rsid w:val="009F59F4"/>
    <w:rsid w:val="00A0245A"/>
    <w:rsid w:val="00A02EEC"/>
    <w:rsid w:val="00A04ABB"/>
    <w:rsid w:val="00A14249"/>
    <w:rsid w:val="00A17741"/>
    <w:rsid w:val="00A2290C"/>
    <w:rsid w:val="00A2438D"/>
    <w:rsid w:val="00A2452F"/>
    <w:rsid w:val="00A31DD5"/>
    <w:rsid w:val="00A33E8D"/>
    <w:rsid w:val="00A36E15"/>
    <w:rsid w:val="00A376C8"/>
    <w:rsid w:val="00A42BA7"/>
    <w:rsid w:val="00A446C0"/>
    <w:rsid w:val="00A45321"/>
    <w:rsid w:val="00A47F73"/>
    <w:rsid w:val="00A539E3"/>
    <w:rsid w:val="00A5535B"/>
    <w:rsid w:val="00A652E6"/>
    <w:rsid w:val="00A65BA3"/>
    <w:rsid w:val="00A66266"/>
    <w:rsid w:val="00A6636B"/>
    <w:rsid w:val="00A67157"/>
    <w:rsid w:val="00A7272E"/>
    <w:rsid w:val="00A72E5F"/>
    <w:rsid w:val="00A748DE"/>
    <w:rsid w:val="00A76519"/>
    <w:rsid w:val="00A77CC6"/>
    <w:rsid w:val="00A828D2"/>
    <w:rsid w:val="00A846CE"/>
    <w:rsid w:val="00A858D2"/>
    <w:rsid w:val="00A87097"/>
    <w:rsid w:val="00A87390"/>
    <w:rsid w:val="00A942A4"/>
    <w:rsid w:val="00AA4191"/>
    <w:rsid w:val="00AA7A5D"/>
    <w:rsid w:val="00AB17DE"/>
    <w:rsid w:val="00AB30C8"/>
    <w:rsid w:val="00AB4C8F"/>
    <w:rsid w:val="00AB62AD"/>
    <w:rsid w:val="00AB793C"/>
    <w:rsid w:val="00AC180D"/>
    <w:rsid w:val="00AC2D12"/>
    <w:rsid w:val="00AD45BF"/>
    <w:rsid w:val="00AE10C2"/>
    <w:rsid w:val="00AE3B18"/>
    <w:rsid w:val="00AE59A5"/>
    <w:rsid w:val="00AF052F"/>
    <w:rsid w:val="00AF5D4F"/>
    <w:rsid w:val="00AF79B8"/>
    <w:rsid w:val="00B035BB"/>
    <w:rsid w:val="00B056A3"/>
    <w:rsid w:val="00B06F59"/>
    <w:rsid w:val="00B075A5"/>
    <w:rsid w:val="00B07A46"/>
    <w:rsid w:val="00B108BA"/>
    <w:rsid w:val="00B10F9C"/>
    <w:rsid w:val="00B1477B"/>
    <w:rsid w:val="00B15252"/>
    <w:rsid w:val="00B177DF"/>
    <w:rsid w:val="00B25C02"/>
    <w:rsid w:val="00B25D52"/>
    <w:rsid w:val="00B32F4C"/>
    <w:rsid w:val="00B405CA"/>
    <w:rsid w:val="00B42796"/>
    <w:rsid w:val="00B4410C"/>
    <w:rsid w:val="00B45D55"/>
    <w:rsid w:val="00B47C99"/>
    <w:rsid w:val="00B508CF"/>
    <w:rsid w:val="00B54453"/>
    <w:rsid w:val="00B63BFC"/>
    <w:rsid w:val="00B64D89"/>
    <w:rsid w:val="00B64F18"/>
    <w:rsid w:val="00B65455"/>
    <w:rsid w:val="00B672FE"/>
    <w:rsid w:val="00B7006C"/>
    <w:rsid w:val="00B71EF8"/>
    <w:rsid w:val="00B729AD"/>
    <w:rsid w:val="00B74BAC"/>
    <w:rsid w:val="00B8309F"/>
    <w:rsid w:val="00B83626"/>
    <w:rsid w:val="00B83B02"/>
    <w:rsid w:val="00B847D1"/>
    <w:rsid w:val="00B87080"/>
    <w:rsid w:val="00B90C7E"/>
    <w:rsid w:val="00B91197"/>
    <w:rsid w:val="00B92FB1"/>
    <w:rsid w:val="00B931B7"/>
    <w:rsid w:val="00B96131"/>
    <w:rsid w:val="00B96799"/>
    <w:rsid w:val="00BA2398"/>
    <w:rsid w:val="00BB1396"/>
    <w:rsid w:val="00BB5B3A"/>
    <w:rsid w:val="00BB64A7"/>
    <w:rsid w:val="00BC0913"/>
    <w:rsid w:val="00BC0F7E"/>
    <w:rsid w:val="00BC2926"/>
    <w:rsid w:val="00BC3EBE"/>
    <w:rsid w:val="00BC5523"/>
    <w:rsid w:val="00BD5DCD"/>
    <w:rsid w:val="00BD7401"/>
    <w:rsid w:val="00BD7816"/>
    <w:rsid w:val="00BE61E5"/>
    <w:rsid w:val="00BF2BEC"/>
    <w:rsid w:val="00BF4280"/>
    <w:rsid w:val="00C01C8C"/>
    <w:rsid w:val="00C021F4"/>
    <w:rsid w:val="00C0321D"/>
    <w:rsid w:val="00C10263"/>
    <w:rsid w:val="00C10E75"/>
    <w:rsid w:val="00C1522D"/>
    <w:rsid w:val="00C155EB"/>
    <w:rsid w:val="00C21062"/>
    <w:rsid w:val="00C21B90"/>
    <w:rsid w:val="00C2509B"/>
    <w:rsid w:val="00C31F14"/>
    <w:rsid w:val="00C32F7B"/>
    <w:rsid w:val="00C35F8B"/>
    <w:rsid w:val="00C363C0"/>
    <w:rsid w:val="00C3700C"/>
    <w:rsid w:val="00C37D9D"/>
    <w:rsid w:val="00C4083C"/>
    <w:rsid w:val="00C43FDC"/>
    <w:rsid w:val="00C46AD6"/>
    <w:rsid w:val="00C54865"/>
    <w:rsid w:val="00C56338"/>
    <w:rsid w:val="00C60A64"/>
    <w:rsid w:val="00C65673"/>
    <w:rsid w:val="00C664C3"/>
    <w:rsid w:val="00C74FB2"/>
    <w:rsid w:val="00C76260"/>
    <w:rsid w:val="00C814CD"/>
    <w:rsid w:val="00C82B67"/>
    <w:rsid w:val="00C82C6A"/>
    <w:rsid w:val="00C8632C"/>
    <w:rsid w:val="00C8721B"/>
    <w:rsid w:val="00C87FDB"/>
    <w:rsid w:val="00C90188"/>
    <w:rsid w:val="00C94949"/>
    <w:rsid w:val="00C974D5"/>
    <w:rsid w:val="00C97693"/>
    <w:rsid w:val="00C97D05"/>
    <w:rsid w:val="00CA13B2"/>
    <w:rsid w:val="00CA3379"/>
    <w:rsid w:val="00CA4AD5"/>
    <w:rsid w:val="00CA4B82"/>
    <w:rsid w:val="00CB115C"/>
    <w:rsid w:val="00CB1AA3"/>
    <w:rsid w:val="00CB5DAF"/>
    <w:rsid w:val="00CC589F"/>
    <w:rsid w:val="00CD3E31"/>
    <w:rsid w:val="00CD450C"/>
    <w:rsid w:val="00CD4BA7"/>
    <w:rsid w:val="00CE73F1"/>
    <w:rsid w:val="00CF033E"/>
    <w:rsid w:val="00CF061F"/>
    <w:rsid w:val="00CF3C24"/>
    <w:rsid w:val="00D000F6"/>
    <w:rsid w:val="00D00105"/>
    <w:rsid w:val="00D00F9C"/>
    <w:rsid w:val="00D0171E"/>
    <w:rsid w:val="00D01DC0"/>
    <w:rsid w:val="00D02334"/>
    <w:rsid w:val="00D03CE4"/>
    <w:rsid w:val="00D0465B"/>
    <w:rsid w:val="00D0485C"/>
    <w:rsid w:val="00D05805"/>
    <w:rsid w:val="00D07AA3"/>
    <w:rsid w:val="00D12026"/>
    <w:rsid w:val="00D124A1"/>
    <w:rsid w:val="00D16760"/>
    <w:rsid w:val="00D22E43"/>
    <w:rsid w:val="00D239E7"/>
    <w:rsid w:val="00D265D9"/>
    <w:rsid w:val="00D266D6"/>
    <w:rsid w:val="00D31A71"/>
    <w:rsid w:val="00D36CFD"/>
    <w:rsid w:val="00D407C6"/>
    <w:rsid w:val="00D41498"/>
    <w:rsid w:val="00D43A60"/>
    <w:rsid w:val="00D460A6"/>
    <w:rsid w:val="00D47B36"/>
    <w:rsid w:val="00D51DF4"/>
    <w:rsid w:val="00D528E9"/>
    <w:rsid w:val="00D5456A"/>
    <w:rsid w:val="00D54984"/>
    <w:rsid w:val="00D54C2A"/>
    <w:rsid w:val="00D60810"/>
    <w:rsid w:val="00D61213"/>
    <w:rsid w:val="00D641FD"/>
    <w:rsid w:val="00D74194"/>
    <w:rsid w:val="00D75137"/>
    <w:rsid w:val="00D754D2"/>
    <w:rsid w:val="00D7672E"/>
    <w:rsid w:val="00D76779"/>
    <w:rsid w:val="00D814DF"/>
    <w:rsid w:val="00D81A22"/>
    <w:rsid w:val="00D82E59"/>
    <w:rsid w:val="00D83E53"/>
    <w:rsid w:val="00D8782B"/>
    <w:rsid w:val="00D914AA"/>
    <w:rsid w:val="00D9183E"/>
    <w:rsid w:val="00D9681A"/>
    <w:rsid w:val="00DA27E1"/>
    <w:rsid w:val="00DA5353"/>
    <w:rsid w:val="00DB002B"/>
    <w:rsid w:val="00DB01DB"/>
    <w:rsid w:val="00DB0644"/>
    <w:rsid w:val="00DB372D"/>
    <w:rsid w:val="00DC18C2"/>
    <w:rsid w:val="00DC3DB1"/>
    <w:rsid w:val="00DD0046"/>
    <w:rsid w:val="00DD00C2"/>
    <w:rsid w:val="00DD1BEA"/>
    <w:rsid w:val="00DD2C8E"/>
    <w:rsid w:val="00DE1E11"/>
    <w:rsid w:val="00DE4146"/>
    <w:rsid w:val="00DE5866"/>
    <w:rsid w:val="00DE5D12"/>
    <w:rsid w:val="00DE5F6F"/>
    <w:rsid w:val="00DE72B9"/>
    <w:rsid w:val="00DF04E0"/>
    <w:rsid w:val="00DF5711"/>
    <w:rsid w:val="00E0081D"/>
    <w:rsid w:val="00E00B43"/>
    <w:rsid w:val="00E014CA"/>
    <w:rsid w:val="00E01EAB"/>
    <w:rsid w:val="00E01FBF"/>
    <w:rsid w:val="00E047DA"/>
    <w:rsid w:val="00E055E5"/>
    <w:rsid w:val="00E06510"/>
    <w:rsid w:val="00E15320"/>
    <w:rsid w:val="00E17C36"/>
    <w:rsid w:val="00E20D1B"/>
    <w:rsid w:val="00E23FEA"/>
    <w:rsid w:val="00E26310"/>
    <w:rsid w:val="00E30CCF"/>
    <w:rsid w:val="00E3198C"/>
    <w:rsid w:val="00E35DF9"/>
    <w:rsid w:val="00E367F9"/>
    <w:rsid w:val="00E45FDD"/>
    <w:rsid w:val="00E5027E"/>
    <w:rsid w:val="00E50CA6"/>
    <w:rsid w:val="00E51E96"/>
    <w:rsid w:val="00E520A2"/>
    <w:rsid w:val="00E5287E"/>
    <w:rsid w:val="00E53F39"/>
    <w:rsid w:val="00E54433"/>
    <w:rsid w:val="00E64FFD"/>
    <w:rsid w:val="00E679F7"/>
    <w:rsid w:val="00E705AF"/>
    <w:rsid w:val="00E73507"/>
    <w:rsid w:val="00E7422A"/>
    <w:rsid w:val="00E744EC"/>
    <w:rsid w:val="00E75B19"/>
    <w:rsid w:val="00E77C0F"/>
    <w:rsid w:val="00E80241"/>
    <w:rsid w:val="00E8163B"/>
    <w:rsid w:val="00E82EAD"/>
    <w:rsid w:val="00E85B42"/>
    <w:rsid w:val="00E90121"/>
    <w:rsid w:val="00E90B5F"/>
    <w:rsid w:val="00E91208"/>
    <w:rsid w:val="00E91A74"/>
    <w:rsid w:val="00E93724"/>
    <w:rsid w:val="00E94FBF"/>
    <w:rsid w:val="00E953BE"/>
    <w:rsid w:val="00EA0B10"/>
    <w:rsid w:val="00EA2FF3"/>
    <w:rsid w:val="00EA5FB4"/>
    <w:rsid w:val="00EA7066"/>
    <w:rsid w:val="00EB40DA"/>
    <w:rsid w:val="00EB5C64"/>
    <w:rsid w:val="00EB5DF9"/>
    <w:rsid w:val="00EC125D"/>
    <w:rsid w:val="00EC35F9"/>
    <w:rsid w:val="00ED226F"/>
    <w:rsid w:val="00ED2546"/>
    <w:rsid w:val="00ED4E08"/>
    <w:rsid w:val="00ED7AA8"/>
    <w:rsid w:val="00EE00BB"/>
    <w:rsid w:val="00EE0214"/>
    <w:rsid w:val="00EE380E"/>
    <w:rsid w:val="00EE3905"/>
    <w:rsid w:val="00EE39FA"/>
    <w:rsid w:val="00EF0695"/>
    <w:rsid w:val="00EF16D8"/>
    <w:rsid w:val="00EF2A33"/>
    <w:rsid w:val="00EF2AE1"/>
    <w:rsid w:val="00EF6AD9"/>
    <w:rsid w:val="00EF7443"/>
    <w:rsid w:val="00F02620"/>
    <w:rsid w:val="00F11152"/>
    <w:rsid w:val="00F14F81"/>
    <w:rsid w:val="00F156AB"/>
    <w:rsid w:val="00F21FA0"/>
    <w:rsid w:val="00F237B2"/>
    <w:rsid w:val="00F25553"/>
    <w:rsid w:val="00F27CFF"/>
    <w:rsid w:val="00F30E95"/>
    <w:rsid w:val="00F350FD"/>
    <w:rsid w:val="00F4038E"/>
    <w:rsid w:val="00F40549"/>
    <w:rsid w:val="00F40CDD"/>
    <w:rsid w:val="00F41358"/>
    <w:rsid w:val="00F42B15"/>
    <w:rsid w:val="00F4363C"/>
    <w:rsid w:val="00F43B42"/>
    <w:rsid w:val="00F43CAD"/>
    <w:rsid w:val="00F5284E"/>
    <w:rsid w:val="00F55351"/>
    <w:rsid w:val="00F60AD0"/>
    <w:rsid w:val="00F6573C"/>
    <w:rsid w:val="00F66CF5"/>
    <w:rsid w:val="00F7137E"/>
    <w:rsid w:val="00F72630"/>
    <w:rsid w:val="00F74FEA"/>
    <w:rsid w:val="00F7559B"/>
    <w:rsid w:val="00F77ACB"/>
    <w:rsid w:val="00F81327"/>
    <w:rsid w:val="00F821C7"/>
    <w:rsid w:val="00F87D93"/>
    <w:rsid w:val="00F90273"/>
    <w:rsid w:val="00F90CCA"/>
    <w:rsid w:val="00F919FD"/>
    <w:rsid w:val="00F92383"/>
    <w:rsid w:val="00F92EBF"/>
    <w:rsid w:val="00FA0445"/>
    <w:rsid w:val="00FA4B2D"/>
    <w:rsid w:val="00FA4E73"/>
    <w:rsid w:val="00FA55E4"/>
    <w:rsid w:val="00FA6E70"/>
    <w:rsid w:val="00FB1191"/>
    <w:rsid w:val="00FB62ED"/>
    <w:rsid w:val="00FB6487"/>
    <w:rsid w:val="00FB7568"/>
    <w:rsid w:val="00FB7EAC"/>
    <w:rsid w:val="00FC5798"/>
    <w:rsid w:val="00FD0676"/>
    <w:rsid w:val="00FD24E9"/>
    <w:rsid w:val="00FD2C06"/>
    <w:rsid w:val="00FD699F"/>
    <w:rsid w:val="00FD6CFC"/>
    <w:rsid w:val="00FE1C33"/>
    <w:rsid w:val="00FE3C0D"/>
    <w:rsid w:val="00FE3CE9"/>
    <w:rsid w:val="00FE3DB2"/>
    <w:rsid w:val="00FE5D2D"/>
    <w:rsid w:val="00FF004D"/>
    <w:rsid w:val="00FF1F54"/>
    <w:rsid w:val="00FF51B5"/>
    <w:rsid w:val="022B08DA"/>
    <w:rsid w:val="04AD966E"/>
    <w:rsid w:val="052A99B9"/>
    <w:rsid w:val="05EBBD38"/>
    <w:rsid w:val="08C3A3BC"/>
    <w:rsid w:val="0BB8C2C3"/>
    <w:rsid w:val="0E444B0A"/>
    <w:rsid w:val="0F2E4FEA"/>
    <w:rsid w:val="1104CCCF"/>
    <w:rsid w:val="12788991"/>
    <w:rsid w:val="13236B7B"/>
    <w:rsid w:val="14E19589"/>
    <w:rsid w:val="14F51F59"/>
    <w:rsid w:val="15ED8A34"/>
    <w:rsid w:val="19C8907C"/>
    <w:rsid w:val="1CFAABBD"/>
    <w:rsid w:val="2100273C"/>
    <w:rsid w:val="21BA7A04"/>
    <w:rsid w:val="2470FD3B"/>
    <w:rsid w:val="255679B4"/>
    <w:rsid w:val="2C36CFBA"/>
    <w:rsid w:val="30A16F2E"/>
    <w:rsid w:val="35CBBF5E"/>
    <w:rsid w:val="373F749C"/>
    <w:rsid w:val="3A9DF55D"/>
    <w:rsid w:val="3D8FDB98"/>
    <w:rsid w:val="3E624781"/>
    <w:rsid w:val="3EA01B33"/>
    <w:rsid w:val="43AF2AD4"/>
    <w:rsid w:val="485B68B3"/>
    <w:rsid w:val="49217170"/>
    <w:rsid w:val="4A05C2C0"/>
    <w:rsid w:val="4BE68649"/>
    <w:rsid w:val="4C6A9C54"/>
    <w:rsid w:val="4C702BFA"/>
    <w:rsid w:val="4C762646"/>
    <w:rsid w:val="51439D1D"/>
    <w:rsid w:val="51574CBA"/>
    <w:rsid w:val="522535DE"/>
    <w:rsid w:val="54E4BDE7"/>
    <w:rsid w:val="5DADCDD4"/>
    <w:rsid w:val="60817154"/>
    <w:rsid w:val="621FD704"/>
    <w:rsid w:val="63D02BDE"/>
    <w:rsid w:val="675D12F6"/>
    <w:rsid w:val="6CF76132"/>
    <w:rsid w:val="6D3155AE"/>
    <w:rsid w:val="703C87A4"/>
    <w:rsid w:val="71CEDBA2"/>
    <w:rsid w:val="74506CEA"/>
    <w:rsid w:val="7776B438"/>
    <w:rsid w:val="7B302BC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818F1"/>
  <w15:chartTrackingRefBased/>
  <w15:docId w15:val="{EA937B69-9F55-4D82-A9B0-A8A53A37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paragraph" w:styleId="Heading1">
    <w:name w:val="heading 1"/>
    <w:basedOn w:val="Normal"/>
    <w:next w:val="Normal"/>
    <w:link w:val="Heading1Char"/>
    <w:uiPriority w:val="9"/>
    <w:qFormat/>
    <w:rsid w:val="00F25553"/>
    <w:pPr>
      <w:keepNext/>
      <w:spacing w:before="480" w:after="80"/>
      <w:jc w:val="center"/>
      <w:outlineLvl w:val="0"/>
    </w:pPr>
    <w:rPr>
      <w:rFonts w:ascii="Gill Sans Nova Cond XBd"/>
      <w:b/>
      <w:bCs/>
      <w:color w:val="5066DB"/>
      <w:sz w:val="42"/>
      <w:szCs w:val="42"/>
    </w:rPr>
  </w:style>
  <w:style w:type="paragraph" w:styleId="Heading2">
    <w:name w:val="heading 2"/>
    <w:basedOn w:val="Normal"/>
    <w:next w:val="Normal"/>
    <w:link w:val="Heading2Char"/>
    <w:uiPriority w:val="9"/>
    <w:unhideWhenUsed/>
    <w:qFormat/>
    <w:rsid w:val="00F25553"/>
    <w:pPr>
      <w:keepNext/>
      <w:spacing w:before="240" w:after="80"/>
      <w:jc w:val="center"/>
      <w:outlineLvl w:val="1"/>
    </w:pPr>
    <w:rPr>
      <w:rFonts w:ascii="Gill Sans Nova Cond XBd"/>
      <w:b/>
      <w:bCs/>
      <w:color w:val="5066D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2"/>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fr-FR"/>
    </w:rPr>
  </w:style>
  <w:style w:type="character" w:customStyle="1" w:styleId="normaltextrun">
    <w:name w:val="normaltextrun"/>
    <w:basedOn w:val="DefaultParagraphFont"/>
    <w:rsid w:val="009415F3"/>
  </w:style>
  <w:style w:type="character" w:customStyle="1" w:styleId="UnresolvedMention1">
    <w:name w:val="Unresolved Mention1"/>
    <w:basedOn w:val="DefaultParagraphFont"/>
    <w:uiPriority w:val="99"/>
    <w:semiHidden/>
    <w:unhideWhenUsed/>
    <w:rsid w:val="00B54453"/>
    <w:rPr>
      <w:color w:val="605E5C"/>
      <w:shd w:val="clear" w:color="auto" w:fill="E1DFDD"/>
    </w:rPr>
  </w:style>
  <w:style w:type="character" w:styleId="FollowedHyperlink">
    <w:name w:val="FollowedHyperlink"/>
    <w:basedOn w:val="DefaultParagraphFont"/>
    <w:uiPriority w:val="99"/>
    <w:semiHidden/>
    <w:rsid w:val="00E7422A"/>
    <w:rPr>
      <w:color w:val="272B35" w:themeColor="followedHyperlink"/>
      <w:u w:val="single"/>
    </w:rPr>
  </w:style>
  <w:style w:type="character" w:styleId="CommentReference">
    <w:name w:val="annotation reference"/>
    <w:basedOn w:val="DefaultParagraphFont"/>
    <w:uiPriority w:val="99"/>
    <w:semiHidden/>
    <w:rsid w:val="009D0A59"/>
    <w:rPr>
      <w:sz w:val="16"/>
      <w:szCs w:val="16"/>
    </w:rPr>
  </w:style>
  <w:style w:type="paragraph" w:styleId="CommentText">
    <w:name w:val="annotation text"/>
    <w:basedOn w:val="Normal"/>
    <w:link w:val="CommentTextChar"/>
    <w:uiPriority w:val="99"/>
    <w:semiHidden/>
    <w:rsid w:val="009D0A59"/>
    <w:rPr>
      <w:sz w:val="20"/>
      <w:szCs w:val="20"/>
    </w:rPr>
  </w:style>
  <w:style w:type="character" w:customStyle="1" w:styleId="CommentTextChar">
    <w:name w:val="Comment Text Char"/>
    <w:basedOn w:val="DefaultParagraphFont"/>
    <w:link w:val="CommentText"/>
    <w:uiPriority w:val="99"/>
    <w:semiHidden/>
    <w:rsid w:val="009D0A59"/>
    <w:rPr>
      <w:sz w:val="20"/>
      <w:szCs w:val="20"/>
      <w:lang w:val="fr-FR"/>
    </w:rPr>
  </w:style>
  <w:style w:type="paragraph" w:styleId="CommentSubject">
    <w:name w:val="annotation subject"/>
    <w:basedOn w:val="CommentText"/>
    <w:next w:val="CommentText"/>
    <w:link w:val="CommentSubjectChar"/>
    <w:uiPriority w:val="99"/>
    <w:semiHidden/>
    <w:unhideWhenUsed/>
    <w:rsid w:val="009D0A59"/>
    <w:rPr>
      <w:b/>
      <w:bCs/>
    </w:rPr>
  </w:style>
  <w:style w:type="character" w:customStyle="1" w:styleId="CommentSubjectChar">
    <w:name w:val="Comment Subject Char"/>
    <w:basedOn w:val="CommentTextChar"/>
    <w:link w:val="CommentSubject"/>
    <w:uiPriority w:val="99"/>
    <w:semiHidden/>
    <w:rsid w:val="009D0A59"/>
    <w:rPr>
      <w:b/>
      <w:bCs/>
      <w:sz w:val="20"/>
      <w:szCs w:val="20"/>
      <w:lang w:val="fr-FR"/>
    </w:rPr>
  </w:style>
  <w:style w:type="character" w:customStyle="1" w:styleId="UnresolvedMention2">
    <w:name w:val="Unresolved Mention2"/>
    <w:basedOn w:val="DefaultParagraphFont"/>
    <w:uiPriority w:val="99"/>
    <w:semiHidden/>
    <w:unhideWhenUsed/>
    <w:rsid w:val="00590749"/>
    <w:rPr>
      <w:color w:val="605E5C"/>
      <w:shd w:val="clear" w:color="auto" w:fill="E1DFDD"/>
    </w:rPr>
  </w:style>
  <w:style w:type="character" w:styleId="Strong">
    <w:name w:val="Strong"/>
    <w:basedOn w:val="DefaultParagraphFont"/>
    <w:uiPriority w:val="22"/>
    <w:qFormat/>
    <w:rsid w:val="00EE380E"/>
    <w:rPr>
      <w:b/>
      <w:bCs/>
    </w:rPr>
  </w:style>
  <w:style w:type="character" w:customStyle="1" w:styleId="Heading1Char">
    <w:name w:val="Heading 1 Char"/>
    <w:basedOn w:val="DefaultParagraphFont"/>
    <w:link w:val="Heading1"/>
    <w:uiPriority w:val="9"/>
    <w:rsid w:val="00F25553"/>
    <w:rPr>
      <w:rFonts w:ascii="Gill Sans Nova Cond XBd"/>
      <w:b/>
      <w:bCs/>
      <w:color w:val="5066DB"/>
      <w:sz w:val="42"/>
      <w:szCs w:val="42"/>
      <w:lang w:val="fr-FR"/>
    </w:rPr>
  </w:style>
  <w:style w:type="character" w:customStyle="1" w:styleId="Heading2Char">
    <w:name w:val="Heading 2 Char"/>
    <w:basedOn w:val="DefaultParagraphFont"/>
    <w:link w:val="Heading2"/>
    <w:uiPriority w:val="9"/>
    <w:rsid w:val="00F25553"/>
    <w:rPr>
      <w:rFonts w:ascii="Gill Sans Nova Cond XBd"/>
      <w:b/>
      <w:bCs/>
      <w:color w:val="5066DB"/>
      <w:sz w:val="32"/>
      <w:szCs w:val="32"/>
      <w:lang w:val="fr-FR"/>
    </w:rPr>
  </w:style>
  <w:style w:type="character" w:customStyle="1" w:styleId="UnresolvedMention3">
    <w:name w:val="Unresolved Mention3"/>
    <w:basedOn w:val="DefaultParagraphFont"/>
    <w:uiPriority w:val="99"/>
    <w:unhideWhenUsed/>
    <w:rsid w:val="00F25553"/>
    <w:rPr>
      <w:color w:val="605E5C"/>
      <w:shd w:val="clear" w:color="auto" w:fill="E1DFDD"/>
    </w:rPr>
  </w:style>
  <w:style w:type="paragraph" w:styleId="Revision">
    <w:name w:val="Revision"/>
    <w:hidden/>
    <w:uiPriority w:val="99"/>
    <w:semiHidden/>
    <w:rsid w:val="00687E24"/>
    <w:rPr>
      <w:sz w:val="24"/>
    </w:rPr>
  </w:style>
  <w:style w:type="character" w:customStyle="1" w:styleId="Mention1">
    <w:name w:val="Mention1"/>
    <w:basedOn w:val="DefaultParagraphFont"/>
    <w:uiPriority w:val="99"/>
    <w:unhideWhenUsed/>
    <w:rsid w:val="00E30CCF"/>
    <w:rPr>
      <w:color w:val="2B579A"/>
      <w:shd w:val="clear" w:color="auto" w:fill="E1DFDD"/>
    </w:rPr>
  </w:style>
  <w:style w:type="character" w:customStyle="1" w:styleId="Mentionnonrsolue1">
    <w:name w:val="Mention non résolue1"/>
    <w:basedOn w:val="DefaultParagraphFont"/>
    <w:uiPriority w:val="99"/>
    <w:unhideWhenUsed/>
    <w:rsid w:val="007569CC"/>
    <w:rPr>
      <w:color w:val="605E5C"/>
      <w:shd w:val="clear" w:color="auto" w:fill="E1DFDD"/>
    </w:rPr>
  </w:style>
  <w:style w:type="character" w:customStyle="1" w:styleId="Mention2">
    <w:name w:val="Mention2"/>
    <w:basedOn w:val="DefaultParagraphFont"/>
    <w:uiPriority w:val="99"/>
    <w:unhideWhenUsed/>
    <w:rsid w:val="00EF0695"/>
    <w:rPr>
      <w:color w:val="2B579A"/>
      <w:shd w:val="clear" w:color="auto" w:fill="E1DFDD"/>
    </w:rPr>
  </w:style>
  <w:style w:type="paragraph" w:styleId="Date">
    <w:name w:val="Date"/>
    <w:basedOn w:val="Normal"/>
    <w:next w:val="Normal"/>
    <w:link w:val="DateChar"/>
    <w:uiPriority w:val="99"/>
    <w:semiHidden/>
    <w:rsid w:val="00336713"/>
  </w:style>
  <w:style w:type="character" w:customStyle="1" w:styleId="DateChar">
    <w:name w:val="Date Char"/>
    <w:basedOn w:val="DefaultParagraphFont"/>
    <w:link w:val="Date"/>
    <w:uiPriority w:val="99"/>
    <w:semiHidden/>
    <w:rsid w:val="00336713"/>
    <w:rPr>
      <w:sz w:val="24"/>
      <w:lang w:val="fr-FR"/>
    </w:rPr>
  </w:style>
  <w:style w:type="paragraph" w:customStyle="1" w:styleId="SPRESSRELEASE-TITLE">
    <w:name w:val="S_PRESS RELEASE - TITLE"/>
    <w:basedOn w:val="Normal"/>
    <w:qFormat/>
    <w:rsid w:val="00D7672E"/>
    <w:rPr>
      <w:sz w:val="26"/>
      <w:szCs w:val="24"/>
    </w:rPr>
  </w:style>
  <w:style w:type="character" w:styleId="UnresolvedMention">
    <w:name w:val="Unresolved Mention"/>
    <w:basedOn w:val="DefaultParagraphFont"/>
    <w:uiPriority w:val="99"/>
    <w:semiHidden/>
    <w:unhideWhenUsed/>
    <w:rsid w:val="00BF4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3872">
      <w:bodyDiv w:val="1"/>
      <w:marLeft w:val="0"/>
      <w:marRight w:val="0"/>
      <w:marTop w:val="0"/>
      <w:marBottom w:val="0"/>
      <w:divBdr>
        <w:top w:val="none" w:sz="0" w:space="0" w:color="auto"/>
        <w:left w:val="none" w:sz="0" w:space="0" w:color="auto"/>
        <w:bottom w:val="none" w:sz="0" w:space="0" w:color="auto"/>
        <w:right w:val="none" w:sz="0" w:space="0" w:color="auto"/>
      </w:divBdr>
    </w:div>
    <w:div w:id="288096722">
      <w:bodyDiv w:val="1"/>
      <w:marLeft w:val="0"/>
      <w:marRight w:val="0"/>
      <w:marTop w:val="0"/>
      <w:marBottom w:val="0"/>
      <w:divBdr>
        <w:top w:val="none" w:sz="0" w:space="0" w:color="auto"/>
        <w:left w:val="none" w:sz="0" w:space="0" w:color="auto"/>
        <w:bottom w:val="none" w:sz="0" w:space="0" w:color="auto"/>
        <w:right w:val="none" w:sz="0" w:space="0" w:color="auto"/>
      </w:divBdr>
    </w:div>
    <w:div w:id="886380673">
      <w:bodyDiv w:val="1"/>
      <w:marLeft w:val="0"/>
      <w:marRight w:val="0"/>
      <w:marTop w:val="0"/>
      <w:marBottom w:val="0"/>
      <w:divBdr>
        <w:top w:val="none" w:sz="0" w:space="0" w:color="auto"/>
        <w:left w:val="none" w:sz="0" w:space="0" w:color="auto"/>
        <w:bottom w:val="none" w:sz="0" w:space="0" w:color="auto"/>
        <w:right w:val="none" w:sz="0" w:space="0" w:color="auto"/>
      </w:divBdr>
    </w:div>
    <w:div w:id="1006248872">
      <w:bodyDiv w:val="1"/>
      <w:marLeft w:val="0"/>
      <w:marRight w:val="0"/>
      <w:marTop w:val="0"/>
      <w:marBottom w:val="0"/>
      <w:divBdr>
        <w:top w:val="none" w:sz="0" w:space="0" w:color="auto"/>
        <w:left w:val="none" w:sz="0" w:space="0" w:color="auto"/>
        <w:bottom w:val="none" w:sz="0" w:space="0" w:color="auto"/>
        <w:right w:val="none" w:sz="0" w:space="0" w:color="auto"/>
      </w:divBdr>
    </w:div>
    <w:div w:id="1420755390">
      <w:bodyDiv w:val="1"/>
      <w:marLeft w:val="0"/>
      <w:marRight w:val="0"/>
      <w:marTop w:val="0"/>
      <w:marBottom w:val="0"/>
      <w:divBdr>
        <w:top w:val="none" w:sz="0" w:space="0" w:color="auto"/>
        <w:left w:val="none" w:sz="0" w:space="0" w:color="auto"/>
        <w:bottom w:val="none" w:sz="0" w:space="0" w:color="auto"/>
        <w:right w:val="none" w:sz="0" w:space="0" w:color="auto"/>
      </w:divBdr>
      <w:divsChild>
        <w:div w:id="362904205">
          <w:marLeft w:val="0"/>
          <w:marRight w:val="0"/>
          <w:marTop w:val="0"/>
          <w:marBottom w:val="0"/>
          <w:divBdr>
            <w:top w:val="none" w:sz="0" w:space="0" w:color="auto"/>
            <w:left w:val="none" w:sz="0" w:space="0" w:color="auto"/>
            <w:bottom w:val="none" w:sz="0" w:space="0" w:color="auto"/>
            <w:right w:val="none" w:sz="0" w:space="0" w:color="auto"/>
          </w:divBdr>
        </w:div>
      </w:divsChild>
    </w:div>
    <w:div w:id="1427574318">
      <w:bodyDiv w:val="1"/>
      <w:marLeft w:val="0"/>
      <w:marRight w:val="0"/>
      <w:marTop w:val="0"/>
      <w:marBottom w:val="0"/>
      <w:divBdr>
        <w:top w:val="none" w:sz="0" w:space="0" w:color="auto"/>
        <w:left w:val="none" w:sz="0" w:space="0" w:color="auto"/>
        <w:bottom w:val="none" w:sz="0" w:space="0" w:color="auto"/>
        <w:right w:val="none" w:sz="0" w:space="0" w:color="auto"/>
      </w:divBdr>
    </w:div>
    <w:div w:id="143105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fr" TargetMode="External"/><Relationship Id="rId18" Type="http://schemas.openxmlformats.org/officeDocument/2006/relationships/image" Target="media/image3.e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youtube.com/channel/UCykdC3ouJllVwfJ_bquHgJQ" TargetMode="External"/><Relationship Id="rId7" Type="http://schemas.openxmlformats.org/officeDocument/2006/relationships/settings" Target="settings.xml"/><Relationship Id="rId12" Type="http://schemas.openxmlformats.org/officeDocument/2006/relationships/hyperlink" Target="https://www.stellantis.com/fr" TargetMode="External"/><Relationship Id="rId17" Type="http://schemas.openxmlformats.org/officeDocument/2006/relationships/hyperlink" Target="https://www.facebook.com/Stellanti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fr/finance/evenements/strategic-plan"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witter.com/StellantisFR"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linkedin.com/company/Stellant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mailto:nathalie.roussel@stellanti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83B30B04204A40B245B64540944D82"/>
        <w:category>
          <w:name w:val="General"/>
          <w:gallery w:val="placeholder"/>
        </w:category>
        <w:types>
          <w:type w:val="bbPlcHdr"/>
        </w:types>
        <w:behaviors>
          <w:behavior w:val="content"/>
        </w:behaviors>
        <w:guid w:val="{19D6B9ED-694D-47E0-A6AC-B9857F24A1F7}"/>
      </w:docPartPr>
      <w:docPartBody>
        <w:p w:rsidR="00A14629" w:rsidRDefault="00280188" w:rsidP="00280188">
          <w:pPr>
            <w:pStyle w:val="4B83B30B04204A40B245B64540944D82"/>
          </w:pPr>
          <w:r>
            <w:rPr>
              <w:rStyle w:val="PlaceholderText"/>
              <w:b/>
              <w:color w:val="44546A" w:themeColor="text2"/>
            </w:rPr>
            <w:t>First name LAST NAME</w:t>
          </w:r>
        </w:p>
      </w:docPartBody>
    </w:docPart>
    <w:docPart>
      <w:docPartPr>
        <w:name w:val="15B0FECB78AB4A91AE2997B4DF9E5B7E"/>
        <w:category>
          <w:name w:val="General"/>
          <w:gallery w:val="placeholder"/>
        </w:category>
        <w:types>
          <w:type w:val="bbPlcHdr"/>
        </w:types>
        <w:behaviors>
          <w:behavior w:val="content"/>
        </w:behaviors>
        <w:guid w:val="{CC441822-72F8-40CF-B90F-81E0FC7F4E62}"/>
      </w:docPartPr>
      <w:docPartBody>
        <w:p w:rsidR="00A14629" w:rsidRDefault="00280188" w:rsidP="00280188">
          <w:pPr>
            <w:pStyle w:val="15B0FECB78AB4A91AE2997B4DF9E5B7E"/>
          </w:pPr>
          <w:r>
            <w:rPr>
              <w:rStyle w:val="PlaceholderText"/>
              <w:b/>
              <w:color w:val="44546A" w:themeColor="text2"/>
            </w:rPr>
            <w:t>First name LAST NAME</w:t>
          </w:r>
        </w:p>
      </w:docPartBody>
    </w:docPart>
    <w:docPart>
      <w:docPartPr>
        <w:name w:val="F26A7D7C8EB1413691F360BAB99D6632"/>
        <w:category>
          <w:name w:val="General"/>
          <w:gallery w:val="placeholder"/>
        </w:category>
        <w:types>
          <w:type w:val="bbPlcHdr"/>
        </w:types>
        <w:behaviors>
          <w:behavior w:val="content"/>
        </w:behaviors>
        <w:guid w:val="{33DF265E-A610-4738-A011-48819470EC97}"/>
      </w:docPartPr>
      <w:docPartBody>
        <w:p w:rsidR="00A14629" w:rsidRDefault="00280188" w:rsidP="00280188">
          <w:pPr>
            <w:pStyle w:val="F26A7D7C8EB1413691F360BAB99D6632"/>
          </w:pPr>
          <w:r>
            <w:rPr>
              <w:rStyle w:val="PlaceholderText"/>
              <w:b/>
              <w:color w:val="44546A" w:themeColor="text2"/>
            </w:rPr>
            <w:t>First name LAST NAME</w:t>
          </w:r>
        </w:p>
      </w:docPartBody>
    </w:docPart>
    <w:docPart>
      <w:docPartPr>
        <w:name w:val="1A4A33E458754550A47E8CF7CA7D4F17"/>
        <w:category>
          <w:name w:val="General"/>
          <w:gallery w:val="placeholder"/>
        </w:category>
        <w:types>
          <w:type w:val="bbPlcHdr"/>
        </w:types>
        <w:behaviors>
          <w:behavior w:val="content"/>
        </w:behaviors>
        <w:guid w:val="{3A65B969-F324-450E-89FC-A21E4FFC0B1D}"/>
      </w:docPartPr>
      <w:docPartBody>
        <w:p w:rsidR="00A14629" w:rsidRDefault="00280188" w:rsidP="00280188">
          <w:pPr>
            <w:pStyle w:val="1A4A33E458754550A47E8CF7CA7D4F17"/>
          </w:pPr>
          <w:r>
            <w:rPr>
              <w:rStyle w:val="PlaceholderText"/>
              <w:b/>
              <w:color w:val="44546A" w:themeColor="text2"/>
            </w:rPr>
            <w:t>First name LAST NAME</w:t>
          </w:r>
        </w:p>
      </w:docPartBody>
    </w:docPart>
    <w:docPart>
      <w:docPartPr>
        <w:name w:val="6FC73F97903047D0AD065F99ABB816C1"/>
        <w:category>
          <w:name w:val="General"/>
          <w:gallery w:val="placeholder"/>
        </w:category>
        <w:types>
          <w:type w:val="bbPlcHdr"/>
        </w:types>
        <w:behaviors>
          <w:behavior w:val="content"/>
        </w:behaviors>
        <w:guid w:val="{731F9F08-659B-4648-8BC8-D93FBACECC42}"/>
      </w:docPartPr>
      <w:docPartBody>
        <w:p w:rsidR="00A14629" w:rsidRDefault="00280188" w:rsidP="00280188">
          <w:pPr>
            <w:pStyle w:val="6FC73F97903047D0AD065F99ABB816C1"/>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DC0B91BAEF0841719C91B6076AE680AD"/>
        <w:category>
          <w:name w:val="General"/>
          <w:gallery w:val="placeholder"/>
        </w:category>
        <w:types>
          <w:type w:val="bbPlcHdr"/>
        </w:types>
        <w:behaviors>
          <w:behavior w:val="content"/>
        </w:behaviors>
        <w:guid w:val="{47D3AB5A-AEA2-41E2-A2C1-97554372EA8C}"/>
      </w:docPartPr>
      <w:docPartBody>
        <w:p w:rsidR="00A14629" w:rsidRDefault="00280188" w:rsidP="00280188">
          <w:pPr>
            <w:pStyle w:val="DC0B91BAEF0841719C91B6076AE680AD"/>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D09891699327411FB1DC8A58E3E65E7F"/>
        <w:category>
          <w:name w:val="General"/>
          <w:gallery w:val="placeholder"/>
        </w:category>
        <w:types>
          <w:type w:val="bbPlcHdr"/>
        </w:types>
        <w:behaviors>
          <w:behavior w:val="content"/>
        </w:behaviors>
        <w:guid w:val="{C7A2031B-8568-4938-9FF7-1D2C50B00B57}"/>
      </w:docPartPr>
      <w:docPartBody>
        <w:p w:rsidR="00455C3E" w:rsidRDefault="00280188">
          <w:pPr>
            <w:pStyle w:val="D09891699327411FB1DC8A58E3E65E7F"/>
          </w:pPr>
          <w:r>
            <w:rPr>
              <w:rStyle w:val="PlaceholderText"/>
              <w:b/>
              <w:color w:val="44546A" w:themeColor="text2"/>
            </w:rPr>
            <w:t>First name LAST NAME</w:t>
          </w:r>
        </w:p>
      </w:docPartBody>
    </w:docPart>
    <w:docPart>
      <w:docPartPr>
        <w:name w:val="762709A4A4E14515B6C9C1F9E07C44B2"/>
        <w:category>
          <w:name w:val="General"/>
          <w:gallery w:val="placeholder"/>
        </w:category>
        <w:types>
          <w:type w:val="bbPlcHdr"/>
        </w:types>
        <w:behaviors>
          <w:behavior w:val="content"/>
        </w:behaviors>
        <w:guid w:val="{9BF8DD15-5030-46FF-AF3F-7201C05AD462}"/>
      </w:docPartPr>
      <w:docPartBody>
        <w:p w:rsidR="00455C3E" w:rsidRDefault="00280188">
          <w:pPr>
            <w:pStyle w:val="762709A4A4E14515B6C9C1F9E07C44B2"/>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Gill Sans Nova Cond XBd">
    <w:charset w:val="00"/>
    <w:family w:val="swiss"/>
    <w:pitch w:val="variable"/>
    <w:sig w:usb0="80000287" w:usb1="00000002" w:usb2="00000000" w:usb3="00000000" w:csb0="0000009F"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188"/>
    <w:rsid w:val="00046F55"/>
    <w:rsid w:val="002751CA"/>
    <w:rsid w:val="00280188"/>
    <w:rsid w:val="002D2227"/>
    <w:rsid w:val="003F3500"/>
    <w:rsid w:val="00430994"/>
    <w:rsid w:val="00455C3E"/>
    <w:rsid w:val="004D2683"/>
    <w:rsid w:val="00537E00"/>
    <w:rsid w:val="00557A11"/>
    <w:rsid w:val="00897B9B"/>
    <w:rsid w:val="008B0BF2"/>
    <w:rsid w:val="00904130"/>
    <w:rsid w:val="009C1D3E"/>
    <w:rsid w:val="00A14629"/>
    <w:rsid w:val="00A952CF"/>
    <w:rsid w:val="00B62EE4"/>
    <w:rsid w:val="00D714C5"/>
    <w:rsid w:val="00D93D38"/>
    <w:rsid w:val="00E020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0188"/>
  </w:style>
  <w:style w:type="paragraph" w:customStyle="1" w:styleId="4B83B30B04204A40B245B64540944D82">
    <w:name w:val="4B83B30B04204A40B245B64540944D82"/>
    <w:rsid w:val="00280188"/>
  </w:style>
  <w:style w:type="paragraph" w:customStyle="1" w:styleId="15B0FECB78AB4A91AE2997B4DF9E5B7E">
    <w:name w:val="15B0FECB78AB4A91AE2997B4DF9E5B7E"/>
    <w:rsid w:val="00280188"/>
  </w:style>
  <w:style w:type="paragraph" w:customStyle="1" w:styleId="F26A7D7C8EB1413691F360BAB99D6632">
    <w:name w:val="F26A7D7C8EB1413691F360BAB99D6632"/>
    <w:rsid w:val="00280188"/>
  </w:style>
  <w:style w:type="paragraph" w:customStyle="1" w:styleId="1A4A33E458754550A47E8CF7CA7D4F17">
    <w:name w:val="1A4A33E458754550A47E8CF7CA7D4F17"/>
    <w:rsid w:val="00280188"/>
  </w:style>
  <w:style w:type="paragraph" w:customStyle="1" w:styleId="6FC73F97903047D0AD065F99ABB816C1">
    <w:name w:val="6FC73F97903047D0AD065F99ABB816C1"/>
    <w:rsid w:val="00280188"/>
  </w:style>
  <w:style w:type="paragraph" w:customStyle="1" w:styleId="DC0B91BAEF0841719C91B6076AE680AD">
    <w:name w:val="DC0B91BAEF0841719C91B6076AE680AD"/>
    <w:rsid w:val="00280188"/>
  </w:style>
  <w:style w:type="paragraph" w:customStyle="1" w:styleId="D09891699327411FB1DC8A58E3E65E7F">
    <w:name w:val="D09891699327411FB1DC8A58E3E65E7F"/>
    <w:rPr>
      <w:lang w:eastAsia="en-US"/>
    </w:rPr>
  </w:style>
  <w:style w:type="paragraph" w:customStyle="1" w:styleId="762709A4A4E14515B6C9C1F9E07C44B2">
    <w:name w:val="762709A4A4E14515B6C9C1F9E07C44B2"/>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6031686-5fcb-4ea3-9a86-b7ba613d0413">
      <UserInfo>
        <DisplayName>ANDREA MARCO COSTANZO</DisplayName>
        <AccountId>23</AccountId>
        <AccountType/>
      </UserInfo>
      <UserInfo>
        <DisplayName>GABRIELE CATACCHIO</DisplayName>
        <AccountId>13</AccountId>
        <AccountType/>
      </UserInfo>
      <UserInfo>
        <DisplayName>KAILEEN CONNELLY</DisplayName>
        <AccountId>15</AccountId>
        <AccountType/>
      </UserInfo>
      <UserInfo>
        <DisplayName>DALE JEWETT</DisplayName>
        <AccountId>26</AccountId>
        <AccountType/>
      </UserInfo>
      <UserInfo>
        <DisplayName>MANUELA BATTEZZATO</DisplayName>
        <AccountId>9</AccountId>
        <AccountType/>
      </UserInfo>
    </SharedWithUsers>
    <TaxCatchAll xmlns="16031686-5fcb-4ea3-9a86-b7ba613d0413" xsi:nil="true"/>
    <lcf76f155ced4ddcb4097134ff3c332f xmlns="569658c9-ac7d-460e-86a6-02d142dd4699">
      <Terms xmlns="http://schemas.microsoft.com/office/infopath/2007/PartnerControls"/>
    </lcf76f155ced4ddcb4097134ff3c332f>
    <Image xmlns="569658c9-ac7d-460e-86a6-02d142dd4699">
      <Url xsi:nil="true"/>
      <Description xsi:nil="true"/>
    </Imag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58C60E360A774FB6648D842217FFE2" ma:contentTypeVersion="15" ma:contentTypeDescription="Create a new document." ma:contentTypeScope="" ma:versionID="a01a0e2a3f7681aad41ea9d9c4ace117">
  <xsd:schema xmlns:xsd="http://www.w3.org/2001/XMLSchema" xmlns:xs="http://www.w3.org/2001/XMLSchema" xmlns:p="http://schemas.microsoft.com/office/2006/metadata/properties" xmlns:ns2="569658c9-ac7d-460e-86a6-02d142dd4699" xmlns:ns3="16031686-5fcb-4ea3-9a86-b7ba613d0413" targetNamespace="http://schemas.microsoft.com/office/2006/metadata/properties" ma:root="true" ma:fieldsID="a00952ae6a950b049e892c3f4d4081f2" ns2:_="" ns3:_="">
    <xsd:import namespace="569658c9-ac7d-460e-86a6-02d142dd4699"/>
    <xsd:import namespace="16031686-5fcb-4ea3-9a86-b7ba613d04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658c9-ac7d-460e-86a6-02d142dd4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031686-5fcb-4ea3-9a86-b7ba613d04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03303291-48ff-45cc-aa8f-9bbf3cb1ba87}" ma:internalName="TaxCatchAll" ma:showField="CatchAllData" ma:web="16031686-5fcb-4ea3-9a86-b7ba613d04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0D667B-CDB3-4338-AF82-6E85B2BF5D63}">
  <ds:schemaRefs>
    <ds:schemaRef ds:uri="http://schemas.microsoft.com/office/2006/metadata/properties"/>
    <ds:schemaRef ds:uri="http://schemas.microsoft.com/office/infopath/2007/PartnerControls"/>
    <ds:schemaRef ds:uri="16031686-5fcb-4ea3-9a86-b7ba613d0413"/>
    <ds:schemaRef ds:uri="569658c9-ac7d-460e-86a6-02d142dd4699"/>
  </ds:schemaRefs>
</ds:datastoreItem>
</file>

<file path=customXml/itemProps2.xml><?xml version="1.0" encoding="utf-8"?>
<ds:datastoreItem xmlns:ds="http://schemas.openxmlformats.org/officeDocument/2006/customXml" ds:itemID="{4EA88B91-B64B-443F-8259-F46AEAA55F9E}">
  <ds:schemaRefs>
    <ds:schemaRef ds:uri="http://schemas.openxmlformats.org/officeDocument/2006/bibliography"/>
  </ds:schemaRefs>
</ds:datastoreItem>
</file>

<file path=customXml/itemProps3.xml><?xml version="1.0" encoding="utf-8"?>
<ds:datastoreItem xmlns:ds="http://schemas.openxmlformats.org/officeDocument/2006/customXml" ds:itemID="{0F40C2C7-EC5D-4A8D-8E4A-0E5FFCBD8A37}">
  <ds:schemaRefs>
    <ds:schemaRef ds:uri="http://schemas.microsoft.com/sharepoint/v3/contenttype/forms"/>
  </ds:schemaRefs>
</ds:datastoreItem>
</file>

<file path=customXml/itemProps4.xml><?xml version="1.0" encoding="utf-8"?>
<ds:datastoreItem xmlns:ds="http://schemas.openxmlformats.org/officeDocument/2006/customXml" ds:itemID="{D7814A37-A5B9-4D82-AE3A-3D847842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658c9-ac7d-460e-86a6-02d142dd4699"/>
    <ds:schemaRef ds:uri="16031686-5fcb-4ea3-9a86-b7ba613d0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6</TotalTime>
  <Pages>5</Pages>
  <Words>2100</Words>
  <Characters>11974</Characters>
  <Application>Microsoft Office Word</Application>
  <DocSecurity>0</DocSecurity>
  <Lines>99</Lines>
  <Paragraphs>28</Paragraphs>
  <ScaleCrop>false</ScaleCrop>
  <Company>Stellantis</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ANGELA CATALDI</cp:lastModifiedBy>
  <cp:revision>4</cp:revision>
  <cp:lastPrinted>2021-12-06T19:23:00Z</cp:lastPrinted>
  <dcterms:created xsi:type="dcterms:W3CDTF">2022-06-29T13:35:00Z</dcterms:created>
  <dcterms:modified xsi:type="dcterms:W3CDTF">2022-06-29T14:09:00Z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2022-03-24T17:12:10Z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14d46988-cede-4bdb-8987-82f49097d415</vt:lpwstr>
  </property>
  <property fmtid="{D5CDD505-2E9C-101B-9397-08002B2CF9AE}" pid="8" name="MSIP_Label_2fd53d93-3f4c-4b90-b511-bd6bdbb4fba9_ContentBits">
    <vt:lpwstr>0</vt:lpwstr>
  </property>
  <property fmtid="{D5CDD505-2E9C-101B-9397-08002B2CF9AE}" pid="9" name="ContentTypeId">
    <vt:lpwstr>0x0101002C58C60E360A774FB6648D842217FFE2</vt:lpwstr>
  </property>
  <property fmtid="{D5CDD505-2E9C-101B-9397-08002B2CF9AE}" pid="10" name="MediaServiceImageTags">
    <vt:lpwstr/>
  </property>
</Properties>
</file>