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14:paraId="69BDD88E" w14:textId="448DDEB6" w:rsidR="008E4916" w:rsidRPr="003E586B" w:rsidRDefault="003561B7" w:rsidP="003561B7">
      <w:pPr>
        <w:pStyle w:val="SSubjectBlock"/>
        <w:spacing w:before="0" w:after="0"/>
        <w:jc w:val="left"/>
        <w:rPr>
          <w:lang w:val="fr-FR"/>
        </w:rPr>
      </w:pPr>
      <w:r w:rsidRPr="003E586B">
        <w:rPr>
          <w:lang w:val="fr-FR"/>
        </w:rPr>
        <mc:AlternateContent>
          <mc:Choice Requires="wps">
            <w:drawing>
              <wp:inline distT="0" distB="0" distL="0" distR="0" wp14:anchorId="11A5CD4D" wp14:editId="20C1CD01">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1="http://schemas.microsoft.com/office/drawing/2015/9/8/chartex">
            <w:pict>
              <v:shape w14:anchorId="24480A27"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path="m329,39l,39,27,,354,,329,39xe" fillcolor="#243782 [3204]" stroked="f">
                <v:path arrowok="t" o:connecttype="custom" o:connectlocs="401492,61913;0,61913;32949,0;432000,0;401492,61913" o:connectangles="0,0,0,0,0"/>
                <w10:anchorlock/>
              </v:shape>
            </w:pict>
          </mc:Fallback>
        </mc:AlternateContent>
      </w:r>
    </w:p>
    <w:p w14:paraId="718C0C82" w14:textId="2B8A4C94" w:rsidR="008E4916" w:rsidRPr="003E586B" w:rsidRDefault="008E4916" w:rsidP="00DC147A">
      <w:pPr>
        <w:pStyle w:val="SSubjectBlock"/>
        <w:spacing w:before="0" w:after="0"/>
        <w:rPr>
          <w:lang w:val="fr-FR"/>
        </w:rPr>
      </w:pPr>
    </w:p>
    <w:p w14:paraId="486AA3CB" w14:textId="77777777" w:rsidR="008E4916" w:rsidRPr="003E586B" w:rsidRDefault="008E4916" w:rsidP="00DC147A">
      <w:pPr>
        <w:pStyle w:val="SSubjectBlock"/>
        <w:spacing w:before="0" w:after="0"/>
        <w:rPr>
          <w:lang w:val="fr-FR"/>
        </w:rPr>
      </w:pPr>
    </w:p>
    <w:p w14:paraId="600F279D" w14:textId="44D862B7" w:rsidR="0001553A" w:rsidRPr="003E586B" w:rsidRDefault="00467ACE" w:rsidP="0073446E">
      <w:pPr>
        <w:pStyle w:val="SSubjectBlock"/>
        <w:rPr>
          <w:lang w:val="fr-FR"/>
        </w:rPr>
      </w:pPr>
      <w:r w:rsidRPr="003E586B">
        <w:rPr>
          <w:lang w:val="fr-FR"/>
        </w:rPr>
        <w:t>Carlos Tavares</w:t>
      </w:r>
      <w:r w:rsidR="006F25CA" w:rsidRPr="003E586B">
        <w:rPr>
          <w:lang w:val="fr-FR"/>
        </w:rPr>
        <w:t>, CEO de Stellantis,</w:t>
      </w:r>
      <w:r w:rsidRPr="003E586B">
        <w:rPr>
          <w:lang w:val="fr-FR"/>
        </w:rPr>
        <w:t xml:space="preserve"> </w:t>
      </w:r>
      <w:r w:rsidR="006F25CA" w:rsidRPr="003E586B">
        <w:rPr>
          <w:lang w:val="fr-FR"/>
        </w:rPr>
        <w:t>animera un</w:t>
      </w:r>
      <w:r w:rsidR="0073446E" w:rsidRPr="003E586B">
        <w:rPr>
          <w:lang w:val="fr-FR"/>
        </w:rPr>
        <w:t xml:space="preserve"> Webcast</w:t>
      </w:r>
      <w:r w:rsidR="008C4975" w:rsidRPr="003E586B">
        <w:rPr>
          <w:lang w:val="fr-FR"/>
        </w:rPr>
        <w:t xml:space="preserve"> </w:t>
      </w:r>
      <w:r w:rsidR="006F25CA" w:rsidRPr="003E586B">
        <w:rPr>
          <w:lang w:val="fr-FR"/>
        </w:rPr>
        <w:t xml:space="preserve"> en direct au</w:t>
      </w:r>
      <w:r w:rsidRPr="003E586B">
        <w:rPr>
          <w:lang w:val="fr-FR"/>
        </w:rPr>
        <w:t xml:space="preserve"> CES 2022 </w:t>
      </w:r>
    </w:p>
    <w:p w14:paraId="7D9E00B0" w14:textId="685FF3B5" w:rsidR="00326B09" w:rsidRPr="003E586B" w:rsidRDefault="005F4A97" w:rsidP="000E5EDF">
      <w:pPr>
        <w:pStyle w:val="SDatePlace"/>
        <w:jc w:val="both"/>
        <w:rPr>
          <w:b/>
          <w:lang w:val="fr-FR"/>
        </w:rPr>
      </w:pPr>
      <w:r w:rsidRPr="003E586B">
        <w:rPr>
          <w:lang w:val="fr-FR"/>
        </w:rPr>
        <w:t xml:space="preserve">AMSTERDAM, </w:t>
      </w:r>
      <w:r w:rsidR="004B6915" w:rsidRPr="003E586B">
        <w:rPr>
          <w:lang w:val="fr-FR"/>
        </w:rPr>
        <w:t>3</w:t>
      </w:r>
      <w:r w:rsidR="006F25CA" w:rsidRPr="003E586B">
        <w:rPr>
          <w:lang w:val="fr-FR"/>
        </w:rPr>
        <w:t xml:space="preserve"> janvier, 2022</w:t>
      </w:r>
      <w:r w:rsidRPr="003E586B">
        <w:rPr>
          <w:lang w:val="fr-FR"/>
        </w:rPr>
        <w:t xml:space="preserve"> - </w:t>
      </w:r>
      <w:r w:rsidR="006F25CA" w:rsidRPr="003E586B">
        <w:rPr>
          <w:lang w:val="fr-FR"/>
        </w:rPr>
        <w:t xml:space="preserve">Carlos </w:t>
      </w:r>
      <w:proofErr w:type="spellStart"/>
      <w:r w:rsidR="006F25CA" w:rsidRPr="003E586B">
        <w:rPr>
          <w:lang w:val="fr-FR"/>
        </w:rPr>
        <w:t>Tavares</w:t>
      </w:r>
      <w:proofErr w:type="spellEnd"/>
      <w:r w:rsidR="006F25CA" w:rsidRPr="003E586B">
        <w:rPr>
          <w:lang w:val="fr-FR"/>
        </w:rPr>
        <w:t xml:space="preserve"> animera un </w:t>
      </w:r>
      <w:proofErr w:type="spellStart"/>
      <w:r w:rsidR="006F25CA" w:rsidRPr="003E586B">
        <w:rPr>
          <w:lang w:val="fr-FR"/>
        </w:rPr>
        <w:t>webcast</w:t>
      </w:r>
      <w:proofErr w:type="spellEnd"/>
      <w:r w:rsidR="006F25CA" w:rsidRPr="003E586B">
        <w:rPr>
          <w:lang w:val="fr-FR"/>
        </w:rPr>
        <w:t xml:space="preserve"> en direct pendant le CES 2022 pour échanger sur la transition de l’entreprise vers une Tech </w:t>
      </w:r>
      <w:proofErr w:type="spellStart"/>
      <w:r w:rsidR="006F25CA" w:rsidRPr="003E586B">
        <w:rPr>
          <w:lang w:val="fr-FR"/>
        </w:rPr>
        <w:t>company</w:t>
      </w:r>
      <w:proofErr w:type="spellEnd"/>
      <w:r w:rsidR="006F25CA" w:rsidRPr="003E586B">
        <w:rPr>
          <w:lang w:val="fr-FR"/>
        </w:rPr>
        <w:t xml:space="preserve"> de mobilité durable, le mercredi 5 janvier à 17h00 CET.</w:t>
      </w:r>
      <w:r w:rsidR="006F25CA" w:rsidRPr="003E586B">
        <w:rPr>
          <w:b/>
          <w:lang w:val="fr-FR"/>
        </w:rPr>
        <w:t xml:space="preserve"> </w:t>
      </w:r>
    </w:p>
    <w:p w14:paraId="30C742EE" w14:textId="4F6CD4AE" w:rsidR="0073446E" w:rsidRPr="003E586B" w:rsidRDefault="006F25CA" w:rsidP="00326B09">
      <w:pPr>
        <w:pStyle w:val="SDatePlace"/>
        <w:numPr>
          <w:ilvl w:val="0"/>
          <w:numId w:val="15"/>
        </w:numPr>
        <w:jc w:val="both"/>
        <w:rPr>
          <w:b/>
          <w:lang w:val="fr-FR"/>
        </w:rPr>
      </w:pPr>
      <w:r w:rsidRPr="003E586B">
        <w:rPr>
          <w:b/>
          <w:lang w:val="fr-FR"/>
        </w:rPr>
        <w:t>L</w:t>
      </w:r>
      <w:r w:rsidR="00326B09" w:rsidRPr="003E586B">
        <w:rPr>
          <w:b/>
          <w:lang w:val="fr-FR"/>
        </w:rPr>
        <w:t xml:space="preserve">IEU </w:t>
      </w:r>
      <w:r w:rsidR="0073446E" w:rsidRPr="003E586B">
        <w:rPr>
          <w:b/>
          <w:lang w:val="fr-FR"/>
        </w:rPr>
        <w:t xml:space="preserve">: </w:t>
      </w:r>
      <w:r w:rsidR="0073446E" w:rsidRPr="003E586B">
        <w:rPr>
          <w:lang w:val="fr-FR"/>
        </w:rPr>
        <w:t>Stellantis Display, Booth 4643, Las Vegas Convention Center, West Hall, “Tech East”</w:t>
      </w:r>
    </w:p>
    <w:p w14:paraId="30D8FDBC" w14:textId="17F4DCAE" w:rsidR="0073446E" w:rsidRPr="003E586B" w:rsidRDefault="006F25CA" w:rsidP="004B6915">
      <w:pPr>
        <w:pStyle w:val="SDatePlace"/>
        <w:numPr>
          <w:ilvl w:val="0"/>
          <w:numId w:val="14"/>
        </w:numPr>
        <w:rPr>
          <w:lang w:val="fr-FR"/>
        </w:rPr>
      </w:pPr>
      <w:r w:rsidRPr="003E586B">
        <w:rPr>
          <w:b/>
          <w:lang w:val="fr-FR"/>
        </w:rPr>
        <w:t>LIEN WEBCAST</w:t>
      </w:r>
      <w:r w:rsidR="00ED03F7" w:rsidRPr="003E586B">
        <w:rPr>
          <w:b/>
          <w:lang w:val="fr-FR"/>
        </w:rPr>
        <w:t xml:space="preserve">  :</w:t>
      </w:r>
      <w:r w:rsidR="004B6915" w:rsidRPr="003E586B">
        <w:rPr>
          <w:b/>
          <w:lang w:val="fr-FR"/>
        </w:rPr>
        <w:t xml:space="preserve"> </w:t>
      </w:r>
      <w:hyperlink r:id="rId9" w:history="1">
        <w:r w:rsidR="004B6915" w:rsidRPr="003E586B">
          <w:rPr>
            <w:rStyle w:val="Hyperlink"/>
            <w:szCs w:val="24"/>
            <w:lang w:val="fr-FR"/>
          </w:rPr>
          <w:t>https://stellantis.ezlivecaption.com/Stellantis_CES_2022/main.htm</w:t>
        </w:r>
      </w:hyperlink>
    </w:p>
    <w:p w14:paraId="0525DFCD" w14:textId="144CBD2F" w:rsidR="006F25CA" w:rsidRPr="003E586B" w:rsidRDefault="006F25CA" w:rsidP="001128EA">
      <w:pPr>
        <w:pStyle w:val="SDatePlace"/>
        <w:jc w:val="both"/>
        <w:rPr>
          <w:lang w:val="fr-FR"/>
        </w:rPr>
      </w:pPr>
      <w:r w:rsidRPr="003E586B">
        <w:rPr>
          <w:lang w:val="fr-FR"/>
        </w:rPr>
        <w:t xml:space="preserve">Pour en savoir plus </w:t>
      </w:r>
      <w:r w:rsidR="000E5EDF" w:rsidRPr="003E586B">
        <w:rPr>
          <w:lang w:val="fr-FR"/>
        </w:rPr>
        <w:t xml:space="preserve">: </w:t>
      </w:r>
      <w:hyperlink r:id="rId10" w:history="1">
        <w:r w:rsidR="000E5EDF" w:rsidRPr="003E586B">
          <w:rPr>
            <w:rStyle w:val="Hyperlink"/>
            <w:b/>
            <w:lang w:val="fr-FR"/>
          </w:rPr>
          <w:t>communiqué de presse Stellantis au CES 2022</w:t>
        </w:r>
      </w:hyperlink>
      <w:r w:rsidRPr="003E586B">
        <w:rPr>
          <w:lang w:val="fr-FR"/>
        </w:rPr>
        <w:t xml:space="preserve"> </w:t>
      </w:r>
    </w:p>
    <w:p w14:paraId="5D3DE3DE" w14:textId="7FFC7CCD" w:rsidR="005F4A97" w:rsidRPr="003E586B" w:rsidRDefault="000E5EDF" w:rsidP="001128EA">
      <w:pPr>
        <w:pStyle w:val="SDatePlace"/>
        <w:jc w:val="both"/>
        <w:rPr>
          <w:rFonts w:asciiTheme="majorHAnsi" w:hAnsiTheme="majorHAnsi"/>
          <w:bCs/>
          <w:i/>
          <w:noProof/>
          <w:color w:val="243782" w:themeColor="text2"/>
          <w:szCs w:val="24"/>
          <w:lang w:val="fr-FR"/>
        </w:rPr>
      </w:pPr>
      <w:r w:rsidRPr="003E586B">
        <w:rPr>
          <w:lang w:val="fr-FR"/>
        </w:rPr>
        <w:t>Le</w:t>
      </w:r>
      <w:r w:rsidR="006F25CA" w:rsidRPr="003E586B">
        <w:rPr>
          <w:lang w:val="fr-FR"/>
        </w:rPr>
        <w:t xml:space="preserve"> </w:t>
      </w:r>
      <w:proofErr w:type="spellStart"/>
      <w:r w:rsidRPr="003E586B">
        <w:rPr>
          <w:lang w:val="fr-FR"/>
        </w:rPr>
        <w:t>replay</w:t>
      </w:r>
      <w:proofErr w:type="spellEnd"/>
      <w:r w:rsidR="006F25CA" w:rsidRPr="003E586B">
        <w:rPr>
          <w:lang w:val="fr-FR"/>
        </w:rPr>
        <w:t xml:space="preserve"> </w:t>
      </w:r>
      <w:r w:rsidRPr="003E586B">
        <w:rPr>
          <w:lang w:val="fr-FR"/>
        </w:rPr>
        <w:t xml:space="preserve">du </w:t>
      </w:r>
      <w:proofErr w:type="spellStart"/>
      <w:r w:rsidRPr="003E586B">
        <w:rPr>
          <w:lang w:val="fr-FR"/>
        </w:rPr>
        <w:t>webcast</w:t>
      </w:r>
      <w:proofErr w:type="spellEnd"/>
      <w:r w:rsidRPr="003E586B">
        <w:rPr>
          <w:lang w:val="fr-FR"/>
        </w:rPr>
        <w:t xml:space="preserve"> </w:t>
      </w:r>
      <w:r w:rsidR="006F25CA" w:rsidRPr="003E586B">
        <w:rPr>
          <w:lang w:val="fr-FR"/>
        </w:rPr>
        <w:t xml:space="preserve">sera </w:t>
      </w:r>
      <w:r w:rsidRPr="003E586B">
        <w:rPr>
          <w:lang w:val="fr-FR"/>
        </w:rPr>
        <w:t>disponible</w:t>
      </w:r>
      <w:r w:rsidR="006F25CA" w:rsidRPr="003E586B">
        <w:rPr>
          <w:lang w:val="fr-FR"/>
        </w:rPr>
        <w:t xml:space="preserve"> après l'événement sur la page </w:t>
      </w:r>
      <w:r w:rsidRPr="003E586B">
        <w:rPr>
          <w:lang w:val="fr-FR"/>
        </w:rPr>
        <w:t>“</w:t>
      </w:r>
      <w:hyperlink r:id="rId11" w:history="1">
        <w:r w:rsidRPr="003E586B">
          <w:rPr>
            <w:rStyle w:val="Hyperlink"/>
            <w:lang w:val="fr-FR"/>
          </w:rPr>
          <w:t xml:space="preserve">derniers </w:t>
        </w:r>
        <w:r w:rsidR="006F25CA" w:rsidRPr="003E586B">
          <w:rPr>
            <w:rStyle w:val="Hyperlink"/>
            <w:lang w:val="fr-FR"/>
          </w:rPr>
          <w:t>événements</w:t>
        </w:r>
      </w:hyperlink>
      <w:r w:rsidRPr="003E586B">
        <w:rPr>
          <w:lang w:val="fr-FR"/>
        </w:rPr>
        <w:t>”</w:t>
      </w:r>
      <w:r w:rsidR="006F25CA" w:rsidRPr="003E586B">
        <w:rPr>
          <w:lang w:val="fr-FR"/>
        </w:rPr>
        <w:t xml:space="preserve"> du site Web de Stellantis.</w:t>
      </w:r>
    </w:p>
    <w:p w14:paraId="2A294E24" w14:textId="77777777" w:rsidR="000E5EDF" w:rsidRPr="003E586B" w:rsidRDefault="000E5EDF" w:rsidP="005E2869">
      <w:pPr>
        <w:pStyle w:val="SDatePlace"/>
        <w:rPr>
          <w:rFonts w:asciiTheme="majorHAnsi" w:hAnsiTheme="majorHAnsi"/>
          <w:bCs/>
          <w:i/>
          <w:noProof/>
          <w:color w:val="243782" w:themeColor="text2"/>
          <w:sz w:val="20"/>
          <w:szCs w:val="20"/>
          <w:lang w:val="fr-FR"/>
        </w:rPr>
      </w:pPr>
    </w:p>
    <w:p w14:paraId="5C39AA0C" w14:textId="46CE34AF" w:rsidR="004B2ECD" w:rsidRPr="003E586B" w:rsidRDefault="000E5EDF" w:rsidP="005E2869">
      <w:pPr>
        <w:pStyle w:val="SDatePlace"/>
        <w:rPr>
          <w:rFonts w:asciiTheme="majorHAnsi" w:hAnsiTheme="majorHAnsi"/>
          <w:bCs/>
          <w:i/>
          <w:noProof/>
          <w:color w:val="243782" w:themeColor="text2"/>
          <w:sz w:val="20"/>
          <w:szCs w:val="20"/>
          <w:lang w:val="fr-FR"/>
        </w:rPr>
      </w:pPr>
      <w:r w:rsidRPr="003E586B">
        <w:rPr>
          <w:rFonts w:asciiTheme="majorHAnsi" w:hAnsiTheme="majorHAnsi"/>
          <w:bCs/>
          <w:i/>
          <w:noProof/>
          <w:color w:val="243782" w:themeColor="text2"/>
          <w:sz w:val="20"/>
          <w:szCs w:val="20"/>
          <w:lang w:val="fr-FR"/>
        </w:rPr>
        <w:t>À propos de</w:t>
      </w:r>
      <w:r w:rsidR="00386E60" w:rsidRPr="003E586B">
        <w:rPr>
          <w:rFonts w:asciiTheme="majorHAnsi" w:hAnsiTheme="majorHAnsi"/>
          <w:bCs/>
          <w:i/>
          <w:noProof/>
          <w:color w:val="243782" w:themeColor="text2"/>
          <w:sz w:val="20"/>
          <w:szCs w:val="20"/>
          <w:lang w:val="fr-FR"/>
        </w:rPr>
        <w:t xml:space="preserve"> Stellantis</w:t>
      </w:r>
    </w:p>
    <w:p w14:paraId="2B3D64C1" w14:textId="61AD629F" w:rsidR="004B2ECD" w:rsidRPr="003E586B" w:rsidRDefault="00AC51F4" w:rsidP="000E5EDF">
      <w:pPr>
        <w:pStyle w:val="SDatePlace"/>
        <w:jc w:val="both"/>
        <w:rPr>
          <w:i/>
          <w:sz w:val="20"/>
          <w:szCs w:val="20"/>
          <w:lang w:val="fr-FR"/>
        </w:rPr>
      </w:pPr>
      <w:r w:rsidRPr="003E586B">
        <w:rPr>
          <w:b/>
          <w:i/>
          <w:color w:val="243782"/>
          <w:sz w:val="20"/>
          <w:szCs w:val="20"/>
          <w:lang w:val="fr-FR"/>
        </w:rPr>
        <w:t>Stellantis</w:t>
      </w:r>
      <w:r w:rsidRPr="003E586B">
        <w:rPr>
          <w:i/>
          <w:sz w:val="20"/>
          <w:szCs w:val="20"/>
          <w:lang w:val="fr-FR"/>
        </w:rPr>
        <w:t xml:space="preserve"> (NYSE / MTA / Euronext </w:t>
      </w:r>
      <w:proofErr w:type="gramStart"/>
      <w:r w:rsidRPr="003E586B">
        <w:rPr>
          <w:i/>
          <w:sz w:val="20"/>
          <w:szCs w:val="20"/>
          <w:lang w:val="fr-FR"/>
        </w:rPr>
        <w:t>Paris:</w:t>
      </w:r>
      <w:proofErr w:type="gramEnd"/>
      <w:r w:rsidRPr="003E586B">
        <w:rPr>
          <w:i/>
          <w:sz w:val="20"/>
          <w:szCs w:val="20"/>
          <w:lang w:val="fr-FR"/>
        </w:rPr>
        <w:t xml:space="preserve"> STLA) </w:t>
      </w:r>
      <w:r w:rsidRPr="003E586B">
        <w:rPr>
          <w:rFonts w:eastAsia="Encode Sans"/>
          <w:i/>
          <w:sz w:val="20"/>
          <w:szCs w:val="20"/>
          <w:lang w:val="fr-FR"/>
        </w:rPr>
        <w:t>figure</w:t>
      </w:r>
      <w:r w:rsidR="000E5EDF" w:rsidRPr="003E586B">
        <w:rPr>
          <w:rFonts w:eastAsia="Encode Sans"/>
          <w:i/>
          <w:sz w:val="20"/>
          <w:szCs w:val="20"/>
          <w:lang w:val="fr-FR"/>
        </w:rPr>
        <w:t xml:space="preserve"> parmi les principaux constructeurs automobiles et fournisseurs de services de mobilité internationaux, Stellantis est guidé par une vision claire : permettre à tous de se déplacer librement grâce à des solutions de mobilité distinctives, abordables et fiables.  Outre son implantation géographique et la richesse de son héritage, la plus grande force du Groupe réside dans ses performances en matière de durabilité, l’étendue de son expérience et la diversité des talents internationaux qui le composent. Stellantis s’appuie sur l’ampleur de son portefeuille de marques emblématiques, qui a été fondé par des visionnaires qui ont insufflé leur passion dans leurs entreprises, associée à un esprit de compétition qui parle autant à ses employés qu’à ses clients. L’objectif de Stellantis : devenir le numéro un, en termes de qualité et non de taille, tout en créant encore plus de valeur pour l’ensemble de ses partenaires et des communautés au sein desquelles il opère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3"/>
        <w:gridCol w:w="1751"/>
        <w:gridCol w:w="613"/>
        <w:gridCol w:w="1497"/>
        <w:gridCol w:w="605"/>
        <w:gridCol w:w="1477"/>
        <w:gridCol w:w="624"/>
        <w:gridCol w:w="1143"/>
        <w:gridCol w:w="13"/>
      </w:tblGrid>
      <w:tr w:rsidR="001E6C1E" w:rsidRPr="003E586B" w14:paraId="28E29521" w14:textId="77777777" w:rsidTr="0023542B">
        <w:trPr>
          <w:trHeight w:val="729"/>
        </w:trPr>
        <w:tc>
          <w:tcPr>
            <w:tcW w:w="579" w:type="dxa"/>
            <w:vAlign w:val="center"/>
          </w:tcPr>
          <w:p w14:paraId="08AD1F2A" w14:textId="77777777" w:rsidR="00F534EC" w:rsidRPr="003E586B" w:rsidRDefault="00F534EC" w:rsidP="00F903F7">
            <w:pPr>
              <w:spacing w:after="0"/>
              <w:jc w:val="left"/>
              <w:rPr>
                <w:color w:val="243782" w:themeColor="text2"/>
                <w:sz w:val="20"/>
                <w:szCs w:val="20"/>
                <w:lang w:val="fr-FR"/>
              </w:rPr>
            </w:pPr>
          </w:p>
          <w:p w14:paraId="7A3172E9" w14:textId="77777777" w:rsidR="00F534EC" w:rsidRPr="003E586B" w:rsidRDefault="00F534EC" w:rsidP="00F903F7">
            <w:pPr>
              <w:spacing w:after="0"/>
              <w:jc w:val="left"/>
              <w:rPr>
                <w:color w:val="243782" w:themeColor="text2"/>
                <w:sz w:val="20"/>
                <w:szCs w:val="20"/>
                <w:lang w:val="fr-FR"/>
              </w:rPr>
            </w:pPr>
          </w:p>
          <w:p w14:paraId="561AB358" w14:textId="4826239F" w:rsidR="001E6C1E" w:rsidRPr="003E586B" w:rsidRDefault="001E6C1E" w:rsidP="00F903F7">
            <w:pPr>
              <w:spacing w:after="0"/>
              <w:jc w:val="left"/>
              <w:rPr>
                <w:color w:val="243782" w:themeColor="text2"/>
                <w:sz w:val="20"/>
                <w:szCs w:val="20"/>
                <w:lang w:val="fr-FR"/>
              </w:rPr>
            </w:pPr>
            <w:r w:rsidRPr="003E586B">
              <w:rPr>
                <w:noProof/>
                <w:color w:val="243782" w:themeColor="text2"/>
                <w:sz w:val="20"/>
                <w:szCs w:val="20"/>
                <w:lang w:val="fr-FR"/>
              </w:rPr>
              <w:lastRenderedPageBreak/>
              <w:drawing>
                <wp:anchor distT="0" distB="0" distL="114300" distR="114300" simplePos="0" relativeHeight="251663360" behindDoc="0" locked="0" layoutInCell="1" allowOverlap="1" wp14:anchorId="0B970E21" wp14:editId="3D05C5CE">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2FA4CEC7" w14:textId="77777777" w:rsidR="00BF245F" w:rsidRPr="003E586B" w:rsidRDefault="00BF245F" w:rsidP="00F903F7">
            <w:pPr>
              <w:spacing w:before="120" w:after="0"/>
              <w:jc w:val="left"/>
              <w:rPr>
                <w:color w:val="243782" w:themeColor="text2"/>
                <w:sz w:val="20"/>
                <w:szCs w:val="20"/>
                <w:lang w:val="fr-FR"/>
              </w:rPr>
            </w:pPr>
          </w:p>
          <w:p w14:paraId="595F123B" w14:textId="0930C93D" w:rsidR="001E6C1E" w:rsidRPr="003E586B" w:rsidRDefault="001E6C1E" w:rsidP="00F903F7">
            <w:pPr>
              <w:spacing w:before="120" w:after="0"/>
              <w:jc w:val="left"/>
              <w:rPr>
                <w:color w:val="243782" w:themeColor="text2"/>
                <w:sz w:val="20"/>
                <w:szCs w:val="20"/>
                <w:lang w:val="fr-FR"/>
              </w:rPr>
            </w:pPr>
            <w:r w:rsidRPr="003E586B">
              <w:rPr>
                <w:color w:val="243782" w:themeColor="text2"/>
                <w:sz w:val="20"/>
                <w:szCs w:val="20"/>
                <w:lang w:val="fr-FR"/>
              </w:rPr>
              <w:t>@Stellantis</w:t>
            </w:r>
          </w:p>
        </w:tc>
        <w:tc>
          <w:tcPr>
            <w:tcW w:w="570" w:type="dxa"/>
            <w:vAlign w:val="center"/>
          </w:tcPr>
          <w:p w14:paraId="2F4B446A" w14:textId="77777777" w:rsidR="001E6C1E" w:rsidRPr="003E586B" w:rsidRDefault="001E6C1E" w:rsidP="00F903F7">
            <w:pPr>
              <w:spacing w:after="0"/>
              <w:jc w:val="left"/>
              <w:rPr>
                <w:color w:val="243782" w:themeColor="text2"/>
                <w:sz w:val="20"/>
                <w:szCs w:val="20"/>
                <w:lang w:val="fr-FR"/>
              </w:rPr>
            </w:pPr>
            <w:r w:rsidRPr="003E586B">
              <w:rPr>
                <w:noProof/>
                <w:color w:val="243782" w:themeColor="text2"/>
                <w:sz w:val="20"/>
                <w:szCs w:val="20"/>
                <w:lang w:val="fr-FR"/>
              </w:rPr>
              <w:drawing>
                <wp:anchor distT="0" distB="0" distL="114300" distR="114300" simplePos="0" relativeHeight="251660288" behindDoc="1" locked="0" layoutInCell="1" allowOverlap="1" wp14:anchorId="2182440F" wp14:editId="1D79AD39">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10E49A16" w14:textId="77777777" w:rsidR="00BF245F" w:rsidRPr="003E586B" w:rsidRDefault="00BF245F" w:rsidP="00F903F7">
            <w:pPr>
              <w:spacing w:before="120" w:after="0"/>
              <w:jc w:val="left"/>
              <w:rPr>
                <w:color w:val="243782" w:themeColor="text2"/>
                <w:sz w:val="20"/>
                <w:szCs w:val="20"/>
                <w:lang w:val="fr-FR"/>
              </w:rPr>
            </w:pPr>
          </w:p>
          <w:p w14:paraId="758C6E52" w14:textId="609D62CF" w:rsidR="001E6C1E" w:rsidRPr="003E586B" w:rsidRDefault="001E6C1E" w:rsidP="00F903F7">
            <w:pPr>
              <w:spacing w:before="120" w:after="0"/>
              <w:jc w:val="left"/>
              <w:rPr>
                <w:color w:val="243782" w:themeColor="text2"/>
                <w:sz w:val="20"/>
                <w:szCs w:val="20"/>
                <w:lang w:val="fr-FR"/>
              </w:rPr>
            </w:pPr>
            <w:r w:rsidRPr="003E586B">
              <w:rPr>
                <w:color w:val="243782" w:themeColor="text2"/>
                <w:sz w:val="20"/>
                <w:szCs w:val="20"/>
                <w:lang w:val="fr-FR"/>
              </w:rPr>
              <w:t>Stellantis</w:t>
            </w:r>
          </w:p>
        </w:tc>
        <w:tc>
          <w:tcPr>
            <w:tcW w:w="556" w:type="dxa"/>
            <w:vAlign w:val="center"/>
          </w:tcPr>
          <w:p w14:paraId="27713B7F" w14:textId="77777777" w:rsidR="001E6C1E" w:rsidRPr="003E586B" w:rsidRDefault="001E6C1E" w:rsidP="00F903F7">
            <w:pPr>
              <w:spacing w:after="0"/>
              <w:jc w:val="left"/>
              <w:rPr>
                <w:color w:val="243782" w:themeColor="text2"/>
                <w:sz w:val="20"/>
                <w:szCs w:val="20"/>
                <w:lang w:val="fr-FR"/>
              </w:rPr>
            </w:pPr>
            <w:r w:rsidRPr="003E586B">
              <w:rPr>
                <w:noProof/>
                <w:color w:val="243782" w:themeColor="text2"/>
                <w:sz w:val="20"/>
                <w:szCs w:val="20"/>
                <w:lang w:val="fr-FR"/>
              </w:rPr>
              <w:drawing>
                <wp:anchor distT="0" distB="0" distL="114300" distR="114300" simplePos="0" relativeHeight="251661312" behindDoc="1" locked="0" layoutInCell="1" allowOverlap="1" wp14:anchorId="5FF718E8" wp14:editId="258354C6">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3E566182" w14:textId="77777777" w:rsidR="00BF245F" w:rsidRPr="003E586B" w:rsidRDefault="00BF245F" w:rsidP="00F903F7">
            <w:pPr>
              <w:spacing w:before="120" w:after="0"/>
              <w:jc w:val="left"/>
              <w:rPr>
                <w:color w:val="243782" w:themeColor="text2"/>
                <w:sz w:val="20"/>
                <w:szCs w:val="20"/>
                <w:lang w:val="fr-FR"/>
              </w:rPr>
            </w:pPr>
          </w:p>
          <w:p w14:paraId="3E044CC8" w14:textId="2CF7ED46" w:rsidR="001E6C1E" w:rsidRPr="003E586B" w:rsidRDefault="001E6C1E" w:rsidP="00F903F7">
            <w:pPr>
              <w:spacing w:before="120" w:after="0"/>
              <w:jc w:val="left"/>
              <w:rPr>
                <w:color w:val="243782" w:themeColor="text2"/>
                <w:sz w:val="20"/>
                <w:szCs w:val="20"/>
                <w:lang w:val="fr-FR"/>
              </w:rPr>
            </w:pPr>
            <w:r w:rsidRPr="003E586B">
              <w:rPr>
                <w:color w:val="243782" w:themeColor="text2"/>
                <w:sz w:val="20"/>
                <w:szCs w:val="20"/>
                <w:lang w:val="fr-FR"/>
              </w:rPr>
              <w:t>Stellantis</w:t>
            </w:r>
          </w:p>
        </w:tc>
        <w:tc>
          <w:tcPr>
            <w:tcW w:w="568" w:type="dxa"/>
            <w:vAlign w:val="center"/>
          </w:tcPr>
          <w:p w14:paraId="46025FBC" w14:textId="77777777" w:rsidR="001E6C1E" w:rsidRPr="003E586B" w:rsidRDefault="001E6C1E" w:rsidP="00F903F7">
            <w:pPr>
              <w:spacing w:after="0"/>
              <w:jc w:val="left"/>
              <w:rPr>
                <w:color w:val="243782" w:themeColor="text2"/>
                <w:sz w:val="20"/>
                <w:szCs w:val="20"/>
                <w:lang w:val="fr-FR"/>
              </w:rPr>
            </w:pPr>
            <w:r w:rsidRPr="003E586B">
              <w:rPr>
                <w:noProof/>
                <w:color w:val="243782" w:themeColor="text2"/>
                <w:sz w:val="20"/>
                <w:szCs w:val="20"/>
                <w:lang w:val="fr-FR"/>
              </w:rPr>
              <w:drawing>
                <wp:anchor distT="0" distB="0" distL="114300" distR="114300" simplePos="0" relativeHeight="251662336" behindDoc="1" locked="0" layoutInCell="1" allowOverlap="1" wp14:anchorId="3A57F743" wp14:editId="5BB59C2E">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58E12796" w14:textId="77777777" w:rsidR="00BF245F" w:rsidRPr="003E586B" w:rsidRDefault="00BF245F" w:rsidP="00F903F7">
            <w:pPr>
              <w:spacing w:before="120" w:after="0"/>
              <w:jc w:val="left"/>
              <w:rPr>
                <w:color w:val="243782" w:themeColor="text2"/>
                <w:sz w:val="20"/>
                <w:szCs w:val="20"/>
                <w:lang w:val="fr-FR"/>
              </w:rPr>
            </w:pPr>
          </w:p>
          <w:p w14:paraId="641F8949" w14:textId="12E79238" w:rsidR="001E6C1E" w:rsidRPr="003E586B" w:rsidRDefault="001E6C1E" w:rsidP="00F903F7">
            <w:pPr>
              <w:spacing w:before="120" w:after="0"/>
              <w:jc w:val="left"/>
              <w:rPr>
                <w:color w:val="243782" w:themeColor="text2"/>
                <w:sz w:val="20"/>
                <w:szCs w:val="20"/>
                <w:lang w:val="fr-FR"/>
              </w:rPr>
            </w:pPr>
            <w:r w:rsidRPr="003E586B">
              <w:rPr>
                <w:color w:val="243782" w:themeColor="text2"/>
                <w:sz w:val="20"/>
                <w:szCs w:val="20"/>
                <w:lang w:val="fr-FR"/>
              </w:rPr>
              <w:t>Stellantis</w:t>
            </w:r>
          </w:p>
        </w:tc>
      </w:tr>
      <w:tr w:rsidR="001E6C1E" w:rsidRPr="003E586B" w14:paraId="644DB7B0" w14:textId="77777777" w:rsidTr="00316547">
        <w:tblPrEx>
          <w:tblCellMar>
            <w:right w:w="57" w:type="dxa"/>
          </w:tblCellMar>
        </w:tblPrEx>
        <w:trPr>
          <w:gridAfter w:val="1"/>
          <w:wAfter w:w="22" w:type="dxa"/>
          <w:trHeight w:val="3150"/>
        </w:trPr>
        <w:tc>
          <w:tcPr>
            <w:tcW w:w="8364" w:type="dxa"/>
            <w:gridSpan w:val="8"/>
          </w:tcPr>
          <w:p w14:paraId="177FE423" w14:textId="77777777" w:rsidR="001E6C1E" w:rsidRPr="003E586B" w:rsidRDefault="001E6C1E" w:rsidP="00F903F7">
            <w:pPr>
              <w:rPr>
                <w:sz w:val="22"/>
                <w:szCs w:val="22"/>
                <w:lang w:val="fr-FR"/>
              </w:rPr>
            </w:pPr>
            <w:r w:rsidRPr="003E586B">
              <w:rPr>
                <w:noProof/>
                <w:sz w:val="22"/>
                <w:szCs w:val="22"/>
                <w:lang w:val="fr-FR"/>
              </w:rPr>
              <w:lastRenderedPageBreak/>
              <mc:AlternateContent>
                <mc:Choice Requires="wps">
                  <w:drawing>
                    <wp:inline distT="0" distB="0" distL="0" distR="0" wp14:anchorId="61357E8E" wp14:editId="5C44F25D">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1="http://schemas.microsoft.com/office/drawing/2015/9/8/chartex">
                  <w:pict>
                    <v:shape w14:anchorId="3524D21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tbl>
            <w:tblPr>
              <w:tblW w:w="8863" w:type="dxa"/>
              <w:tblBorders>
                <w:top w:val="nil"/>
                <w:left w:val="nil"/>
                <w:bottom w:val="nil"/>
                <w:right w:val="nil"/>
                <w:insideH w:val="nil"/>
                <w:insideV w:val="nil"/>
              </w:tblBorders>
              <w:tblLook w:val="0400" w:firstRow="0" w:lastRow="0" w:firstColumn="0" w:lastColumn="0" w:noHBand="0" w:noVBand="1"/>
            </w:tblPr>
            <w:tblGrid>
              <w:gridCol w:w="8316"/>
            </w:tblGrid>
            <w:tr w:rsidR="0011515F" w:rsidRPr="003E586B" w14:paraId="2F6E44C1" w14:textId="77777777" w:rsidTr="00EA7335">
              <w:trPr>
                <w:trHeight w:val="548"/>
              </w:trPr>
              <w:tc>
                <w:tcPr>
                  <w:tcW w:w="8863" w:type="dxa"/>
                </w:tcPr>
                <w:p w14:paraId="009AA810" w14:textId="109E603A" w:rsidR="0011515F" w:rsidRPr="003E586B" w:rsidRDefault="000E5EDF" w:rsidP="0011515F">
                  <w:pPr>
                    <w:widowControl w:val="0"/>
                    <w:pBdr>
                      <w:top w:val="nil"/>
                      <w:left w:val="nil"/>
                      <w:bottom w:val="nil"/>
                      <w:right w:val="nil"/>
                      <w:between w:val="nil"/>
                    </w:pBdr>
                    <w:spacing w:after="0" w:line="276" w:lineRule="auto"/>
                    <w:jc w:val="left"/>
                    <w:rPr>
                      <w:rFonts w:asciiTheme="majorHAnsi" w:hAnsiTheme="majorHAnsi"/>
                      <w:bCs/>
                      <w:color w:val="243782" w:themeColor="text2"/>
                      <w:sz w:val="20"/>
                      <w:szCs w:val="20"/>
                      <w:lang w:val="fr-FR"/>
                    </w:rPr>
                  </w:pPr>
                  <w:bookmarkStart w:id="1" w:name="_Hlk61784883"/>
                  <w:r w:rsidRPr="003E586B">
                    <w:rPr>
                      <w:rFonts w:asciiTheme="majorHAnsi" w:hAnsiTheme="majorHAnsi"/>
                      <w:bCs/>
                      <w:color w:val="243782" w:themeColor="text2"/>
                      <w:sz w:val="20"/>
                      <w:szCs w:val="20"/>
                      <w:lang w:val="fr-FR"/>
                    </w:rPr>
                    <w:t>Pour plus d’informations, contactez :</w:t>
                  </w:r>
                </w:p>
                <w:p w14:paraId="26DE3AA8" w14:textId="77777777" w:rsidR="000E5EDF" w:rsidRPr="003E586B" w:rsidRDefault="000E5EDF" w:rsidP="0011515F">
                  <w:pPr>
                    <w:widowControl w:val="0"/>
                    <w:pBdr>
                      <w:top w:val="nil"/>
                      <w:left w:val="nil"/>
                      <w:bottom w:val="nil"/>
                      <w:right w:val="nil"/>
                      <w:between w:val="nil"/>
                    </w:pBdr>
                    <w:spacing w:after="0" w:line="276" w:lineRule="auto"/>
                    <w:jc w:val="left"/>
                    <w:rPr>
                      <w:color w:val="FF0000"/>
                      <w:sz w:val="22"/>
                      <w:szCs w:val="22"/>
                      <w:lang w:val="fr-FR"/>
                    </w:rPr>
                  </w:pPr>
                </w:p>
                <w:tbl>
                  <w:tblPr>
                    <w:tblW w:w="8647" w:type="dxa"/>
                    <w:tblBorders>
                      <w:top w:val="nil"/>
                      <w:left w:val="nil"/>
                      <w:bottom w:val="nil"/>
                      <w:right w:val="nil"/>
                      <w:insideH w:val="nil"/>
                      <w:insideV w:val="nil"/>
                    </w:tblBorders>
                    <w:tblLook w:val="0400" w:firstRow="0" w:lastRow="0" w:firstColumn="0" w:lastColumn="0" w:noHBand="0" w:noVBand="1"/>
                  </w:tblPr>
                  <w:tblGrid>
                    <w:gridCol w:w="8647"/>
                  </w:tblGrid>
                  <w:tr w:rsidR="00761B4E" w:rsidRPr="003E586B" w14:paraId="2A3C0287" w14:textId="77777777" w:rsidTr="00EA7335">
                    <w:trPr>
                      <w:trHeight w:val="548"/>
                    </w:trPr>
                    <w:tc>
                      <w:tcPr>
                        <w:tcW w:w="8647" w:type="dxa"/>
                      </w:tcPr>
                      <w:p w14:paraId="482E1081" w14:textId="3F541D9B" w:rsidR="00761B4E" w:rsidRPr="003E586B" w:rsidRDefault="00761B4E" w:rsidP="00761B4E">
                        <w:pPr>
                          <w:spacing w:after="120"/>
                          <w:ind w:left="-216" w:firstLine="142"/>
                          <w:jc w:val="left"/>
                          <w:rPr>
                            <w:b/>
                            <w:color w:val="243782"/>
                            <w:sz w:val="20"/>
                            <w:szCs w:val="20"/>
                            <w:lang w:val="fr-FR"/>
                          </w:rPr>
                        </w:pPr>
                        <w:r w:rsidRPr="003E586B">
                          <w:rPr>
                            <w:rFonts w:asciiTheme="majorHAnsi" w:hAnsiTheme="majorHAnsi"/>
                            <w:color w:val="243782"/>
                            <w:sz w:val="20"/>
                            <w:szCs w:val="20"/>
                            <w:lang w:val="fr-FR"/>
                          </w:rPr>
                          <w:t>Shawn MORGAN:</w:t>
                        </w:r>
                        <w:r w:rsidRPr="003E586B">
                          <w:rPr>
                            <w:b/>
                            <w:color w:val="243782"/>
                            <w:sz w:val="20"/>
                            <w:szCs w:val="20"/>
                            <w:lang w:val="fr-FR"/>
                          </w:rPr>
                          <w:t xml:space="preserve"> </w:t>
                        </w:r>
                        <w:r w:rsidRPr="003E586B">
                          <w:rPr>
                            <w:color w:val="243782"/>
                            <w:sz w:val="20"/>
                            <w:szCs w:val="20"/>
                            <w:lang w:val="fr-FR"/>
                          </w:rPr>
                          <w:t xml:space="preserve">+1 248 760 2621 - </w:t>
                        </w:r>
                        <w:hyperlink r:id="rId16">
                          <w:r w:rsidRPr="003E586B">
                            <w:rPr>
                              <w:color w:val="243782"/>
                              <w:sz w:val="20"/>
                              <w:szCs w:val="20"/>
                              <w:lang w:val="fr-FR"/>
                            </w:rPr>
                            <w:t>shawn.morgan@stellantis.com</w:t>
                          </w:r>
                        </w:hyperlink>
                      </w:p>
                    </w:tc>
                  </w:tr>
                  <w:tr w:rsidR="00761B4E" w:rsidRPr="003E586B" w14:paraId="500550D7" w14:textId="77777777" w:rsidTr="00EA7335">
                    <w:trPr>
                      <w:trHeight w:val="548"/>
                    </w:trPr>
                    <w:tc>
                      <w:tcPr>
                        <w:tcW w:w="8647" w:type="dxa"/>
                      </w:tcPr>
                      <w:p w14:paraId="5B39B5EE" w14:textId="77777777" w:rsidR="00761B4E" w:rsidRPr="003E586B" w:rsidRDefault="00761B4E" w:rsidP="00761B4E">
                        <w:pPr>
                          <w:spacing w:after="120"/>
                          <w:ind w:left="-74"/>
                          <w:jc w:val="left"/>
                          <w:rPr>
                            <w:color w:val="243782"/>
                            <w:sz w:val="20"/>
                            <w:szCs w:val="20"/>
                            <w:lang w:val="fr-FR"/>
                          </w:rPr>
                        </w:pPr>
                        <w:r w:rsidRPr="003E586B">
                          <w:rPr>
                            <w:rFonts w:asciiTheme="majorHAnsi" w:hAnsiTheme="majorHAnsi"/>
                            <w:color w:val="243782"/>
                            <w:sz w:val="20"/>
                            <w:szCs w:val="20"/>
                            <w:lang w:val="fr-FR"/>
                          </w:rPr>
                          <w:t>Pierre-Olivier SALMON:</w:t>
                        </w:r>
                        <w:r w:rsidRPr="003E586B">
                          <w:rPr>
                            <w:color w:val="243782"/>
                            <w:sz w:val="20"/>
                            <w:szCs w:val="20"/>
                            <w:lang w:val="fr-FR"/>
                          </w:rPr>
                          <w:t xml:space="preserve"> +33 6 76 86 45 48 - </w:t>
                        </w:r>
                        <w:hyperlink r:id="rId17">
                          <w:r w:rsidRPr="003E586B">
                            <w:rPr>
                              <w:color w:val="243782"/>
                              <w:sz w:val="20"/>
                              <w:szCs w:val="20"/>
                              <w:lang w:val="fr-FR"/>
                            </w:rPr>
                            <w:t>pierreolivier.salmon@stellantis.com</w:t>
                          </w:r>
                        </w:hyperlink>
                      </w:p>
                    </w:tc>
                  </w:tr>
                  <w:tr w:rsidR="00761B4E" w:rsidRPr="003E586B" w14:paraId="19F0827F" w14:textId="77777777" w:rsidTr="00EA7335">
                    <w:trPr>
                      <w:trHeight w:val="548"/>
                    </w:trPr>
                    <w:tc>
                      <w:tcPr>
                        <w:tcW w:w="8647" w:type="dxa"/>
                      </w:tcPr>
                      <w:p w14:paraId="76FB18BA" w14:textId="3DE3B8C7" w:rsidR="00761B4E" w:rsidRPr="003E586B" w:rsidRDefault="00761B4E" w:rsidP="00761B4E">
                        <w:pPr>
                          <w:spacing w:after="120"/>
                          <w:jc w:val="left"/>
                          <w:rPr>
                            <w:b/>
                            <w:color w:val="243782"/>
                            <w:sz w:val="22"/>
                            <w:szCs w:val="22"/>
                            <w:lang w:val="fr-FR"/>
                          </w:rPr>
                        </w:pPr>
                      </w:p>
                    </w:tc>
                  </w:tr>
                </w:tbl>
                <w:p w14:paraId="744252C5" w14:textId="77777777" w:rsidR="0011515F" w:rsidRPr="003E586B" w:rsidRDefault="0011515F" w:rsidP="0011515F">
                  <w:pPr>
                    <w:spacing w:after="120"/>
                    <w:jc w:val="left"/>
                    <w:rPr>
                      <w:b/>
                      <w:color w:val="243782"/>
                      <w:sz w:val="22"/>
                      <w:szCs w:val="22"/>
                      <w:lang w:val="fr-FR"/>
                    </w:rPr>
                  </w:pPr>
                </w:p>
              </w:tc>
            </w:tr>
          </w:tbl>
          <w:p w14:paraId="0E779420" w14:textId="061B0D15" w:rsidR="001E6C1E" w:rsidRPr="003E586B" w:rsidRDefault="003E586B" w:rsidP="00DC147A">
            <w:pPr>
              <w:pStyle w:val="SFooter-Emailwebsite"/>
              <w:spacing w:before="0" w:after="0" w:line="240" w:lineRule="auto"/>
              <w:rPr>
                <w:sz w:val="22"/>
                <w:szCs w:val="22"/>
                <w:lang w:val="fr-FR"/>
              </w:rPr>
            </w:pPr>
            <w:hyperlink r:id="rId18" w:history="1">
              <w:r w:rsidR="00A47017" w:rsidRPr="003E586B">
                <w:rPr>
                  <w:rStyle w:val="Hyperlink"/>
                  <w:sz w:val="22"/>
                  <w:szCs w:val="22"/>
                  <w:lang w:val="fr-FR"/>
                </w:rPr>
                <w:t>communications@stellantis.com</w:t>
              </w:r>
            </w:hyperlink>
            <w:r w:rsidR="001E6C1E" w:rsidRPr="003E586B">
              <w:rPr>
                <w:sz w:val="22"/>
                <w:szCs w:val="22"/>
                <w:lang w:val="fr-FR"/>
              </w:rPr>
              <w:br/>
            </w:r>
            <w:hyperlink r:id="rId19" w:history="1">
              <w:r w:rsidR="002206CE" w:rsidRPr="003E586B">
                <w:rPr>
                  <w:rStyle w:val="Hyperlink"/>
                  <w:sz w:val="22"/>
                  <w:szCs w:val="22"/>
                  <w:lang w:val="fr-FR"/>
                </w:rPr>
                <w:t>www.stellantis.com</w:t>
              </w:r>
            </w:hyperlink>
            <w:bookmarkEnd w:id="1"/>
          </w:p>
          <w:p w14:paraId="1C7A5709" w14:textId="77777777" w:rsidR="002206CE" w:rsidRPr="003E586B" w:rsidRDefault="002206CE" w:rsidP="00DC147A">
            <w:pPr>
              <w:pStyle w:val="SFooter-Emailwebsite"/>
              <w:spacing w:before="0" w:after="0" w:line="240" w:lineRule="auto"/>
              <w:rPr>
                <w:sz w:val="22"/>
                <w:szCs w:val="22"/>
                <w:lang w:val="fr-FR"/>
              </w:rPr>
            </w:pPr>
          </w:p>
          <w:p w14:paraId="1E2749FA" w14:textId="7064B7E4" w:rsidR="00EC4990" w:rsidRPr="003E586B" w:rsidRDefault="00EC4990" w:rsidP="00F903F7">
            <w:pPr>
              <w:pStyle w:val="SFooter-Emailwebsite"/>
              <w:rPr>
                <w:sz w:val="22"/>
                <w:szCs w:val="22"/>
                <w:lang w:val="fr-FR"/>
              </w:rPr>
            </w:pPr>
          </w:p>
        </w:tc>
      </w:tr>
      <w:bookmarkEnd w:id="0"/>
    </w:tbl>
    <w:p w14:paraId="5E33B5DD" w14:textId="77777777" w:rsidR="005D2EA9" w:rsidRPr="003E586B" w:rsidRDefault="005D2EA9" w:rsidP="0011515F">
      <w:pPr>
        <w:spacing w:after="0"/>
        <w:jc w:val="left"/>
        <w:rPr>
          <w:lang w:val="fr-FR"/>
        </w:rPr>
      </w:pPr>
    </w:p>
    <w:sectPr w:rsidR="005D2EA9" w:rsidRPr="003E586B" w:rsidSect="005D2EA9">
      <w:footerReference w:type="default" r:id="rId20"/>
      <w:headerReference w:type="first" r:id="rId21"/>
      <w:pgSz w:w="12242" w:h="15842" w:code="134"/>
      <w:pgMar w:top="1134" w:right="1928" w:bottom="1134" w:left="1928" w:header="1021" w:footer="42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C9F0C" w14:textId="77777777" w:rsidR="00B87B75" w:rsidRDefault="00B87B75" w:rsidP="008D3E4C">
      <w:r>
        <w:separator/>
      </w:r>
    </w:p>
  </w:endnote>
  <w:endnote w:type="continuationSeparator" w:id="0">
    <w:p w14:paraId="0F85E4A9" w14:textId="77777777" w:rsidR="00B87B75" w:rsidRDefault="00B87B75"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5113792F-A6DC-4FDB-921F-7133E362B4A8}"/>
    <w:embedBold r:id="rId2" w:fontKey="{040CBC58-23BC-4279-BB32-ADF91BE4D3B8}"/>
    <w:embedItalic r:id="rId3" w:fontKey="{64E4FA05-E1D3-44EB-A17C-ACC349E563EE}"/>
    <w:embedBoldItalic r:id="rId4" w:fontKey="{6A8E8DA9-4CB2-4663-A3CA-637637B80BF5}"/>
  </w:font>
  <w:font w:name="Encode Sans ExpandedSemiBold">
    <w:panose1 w:val="00000000000000000000"/>
    <w:charset w:val="00"/>
    <w:family w:val="auto"/>
    <w:pitch w:val="variable"/>
    <w:sig w:usb0="A00000FF" w:usb1="4000207B" w:usb2="00000000" w:usb3="00000000" w:csb0="00000193" w:csb1="00000000"/>
    <w:embedRegular r:id="rId5" w:fontKey="{A333FFB5-47F8-4DFC-9DDC-B4F745E42FE7}"/>
    <w:embedItalic r:id="rId6" w:fontKey="{D11DBFFA-E888-47B3-9EC2-E5BE0E55166C}"/>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60DD4" w14:textId="3D73D69A"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3E586B">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B8B7C" w14:textId="77777777" w:rsidR="00B87B75" w:rsidRDefault="00B87B75" w:rsidP="008D3E4C">
      <w:r>
        <w:separator/>
      </w:r>
    </w:p>
  </w:footnote>
  <w:footnote w:type="continuationSeparator" w:id="0">
    <w:p w14:paraId="40E6D420" w14:textId="77777777" w:rsidR="00B87B75" w:rsidRDefault="00B87B75" w:rsidP="008D3E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C0882" w14:textId="77777777"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11BC6F33" wp14:editId="369D164D">
              <wp:simplePos x="0" y="0"/>
              <wp:positionH relativeFrom="page">
                <wp:posOffset>449580</wp:posOffset>
              </wp:positionH>
              <wp:positionV relativeFrom="page">
                <wp:align>top</wp:align>
              </wp:positionV>
              <wp:extent cx="278130" cy="2567940"/>
              <wp:effectExtent l="0" t="0" r="7620" b="381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78130" cy="2567940"/>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57E5FA" w14:textId="43303AD9" w:rsidR="00A33E8D" w:rsidRPr="00150AD4" w:rsidRDefault="00CC3D85" w:rsidP="008D3E4C">
                            <w:pPr>
                              <w:pStyle w:val="SPRESSRELEASESTRIP"/>
                            </w:pPr>
                            <w:r>
                              <w:t xml:space="preserve"> </w:t>
                            </w:r>
                            <w:proofErr w:type="gramStart"/>
                            <w:r w:rsidR="006F25CA">
                              <w:t>INFORMATION  MEDIA</w:t>
                            </w:r>
                            <w:proofErr w:type="gramEnd"/>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1BC6F33" id="Groupe 29" o:spid="_x0000_s1026" style="position:absolute;margin-left:35.4pt;margin-top:0;width:21.9pt;height:202.2pt;z-index:-251656192;mso-position-horizontal-relative:page;mso-position-vertical:top;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B57E5FA" w14:textId="43303AD9" w:rsidR="00A33E8D" w:rsidRPr="00150AD4" w:rsidRDefault="00CC3D85" w:rsidP="008D3E4C">
                      <w:pPr>
                        <w:pStyle w:val="SPRESSRELEASESTRIP"/>
                      </w:pPr>
                      <w:r>
                        <w:t xml:space="preserve"> </w:t>
                      </w:r>
                      <w:proofErr w:type="gramStart"/>
                      <w:r w:rsidR="006F25CA">
                        <w:t>INFORMATION  MEDIA</w:t>
                      </w:r>
                      <w:proofErr w:type="gramEnd"/>
                    </w:p>
                  </w:txbxContent>
                </v:textbox>
              </v:shape>
              <w10:wrap anchorx="page" anchory="page"/>
              <w10:anchorlock/>
            </v:group>
          </w:pict>
        </mc:Fallback>
      </mc:AlternateContent>
    </w:r>
    <w:r w:rsidR="005F2120">
      <w:rPr>
        <w:noProof/>
      </w:rPr>
      <w:drawing>
        <wp:inline distT="0" distB="0" distL="0" distR="0" wp14:anchorId="53080FCB" wp14:editId="7752B788">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D4180"/>
    <w:multiLevelType w:val="hybridMultilevel"/>
    <w:tmpl w:val="0658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14C4E"/>
    <w:multiLevelType w:val="multilevel"/>
    <w:tmpl w:val="351E10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318C14A5"/>
    <w:multiLevelType w:val="hybridMultilevel"/>
    <w:tmpl w:val="7CD445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embedTrueTypeFonts/>
  <w:embedSystemFonts/>
  <w:saveSubsetFonts/>
  <w:activeWritingStyle w:appName="MSWord" w:lang="it-IT"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0"/>
  <w:activeWritingStyle w:appName="MSWord" w:lang="en-GB" w:vendorID="64" w:dllVersion="131078"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D239E7"/>
    <w:rsid w:val="0001553A"/>
    <w:rsid w:val="00015A0D"/>
    <w:rsid w:val="00025664"/>
    <w:rsid w:val="00057C0E"/>
    <w:rsid w:val="0006616C"/>
    <w:rsid w:val="00087566"/>
    <w:rsid w:val="000A3BAA"/>
    <w:rsid w:val="000A68EB"/>
    <w:rsid w:val="000B1892"/>
    <w:rsid w:val="000E1E4B"/>
    <w:rsid w:val="000E4DFE"/>
    <w:rsid w:val="000E5EDF"/>
    <w:rsid w:val="001008E8"/>
    <w:rsid w:val="001128EA"/>
    <w:rsid w:val="0011515F"/>
    <w:rsid w:val="00126E5A"/>
    <w:rsid w:val="00132F6C"/>
    <w:rsid w:val="00150AD4"/>
    <w:rsid w:val="00167FF2"/>
    <w:rsid w:val="001709E7"/>
    <w:rsid w:val="001A32E8"/>
    <w:rsid w:val="001B591C"/>
    <w:rsid w:val="001C34A1"/>
    <w:rsid w:val="001D168B"/>
    <w:rsid w:val="001E1348"/>
    <w:rsid w:val="001E6C1E"/>
    <w:rsid w:val="001F4703"/>
    <w:rsid w:val="002206CE"/>
    <w:rsid w:val="0022588D"/>
    <w:rsid w:val="0023542B"/>
    <w:rsid w:val="00242220"/>
    <w:rsid w:val="00266D61"/>
    <w:rsid w:val="00270BB3"/>
    <w:rsid w:val="002836DD"/>
    <w:rsid w:val="00293E0C"/>
    <w:rsid w:val="002A05FE"/>
    <w:rsid w:val="002A45BF"/>
    <w:rsid w:val="002C508D"/>
    <w:rsid w:val="002C5A57"/>
    <w:rsid w:val="00310F1B"/>
    <w:rsid w:val="00316547"/>
    <w:rsid w:val="00326B09"/>
    <w:rsid w:val="00334E7C"/>
    <w:rsid w:val="003561B7"/>
    <w:rsid w:val="003864AD"/>
    <w:rsid w:val="00386E60"/>
    <w:rsid w:val="00394772"/>
    <w:rsid w:val="003B4199"/>
    <w:rsid w:val="003D7C83"/>
    <w:rsid w:val="003E3A4D"/>
    <w:rsid w:val="003E586B"/>
    <w:rsid w:val="003E68CC"/>
    <w:rsid w:val="003E727D"/>
    <w:rsid w:val="003F2BDD"/>
    <w:rsid w:val="003F79C6"/>
    <w:rsid w:val="004022B4"/>
    <w:rsid w:val="00405F22"/>
    <w:rsid w:val="00411E38"/>
    <w:rsid w:val="00411F8A"/>
    <w:rsid w:val="00425677"/>
    <w:rsid w:val="00427897"/>
    <w:rsid w:val="00427ABE"/>
    <w:rsid w:val="00433EDD"/>
    <w:rsid w:val="00436378"/>
    <w:rsid w:val="0044219E"/>
    <w:rsid w:val="0045216F"/>
    <w:rsid w:val="00452471"/>
    <w:rsid w:val="004532D9"/>
    <w:rsid w:val="00453C1A"/>
    <w:rsid w:val="00466DD1"/>
    <w:rsid w:val="0046706D"/>
    <w:rsid w:val="00467ACE"/>
    <w:rsid w:val="00497590"/>
    <w:rsid w:val="004978C7"/>
    <w:rsid w:val="00497E77"/>
    <w:rsid w:val="004B2ECD"/>
    <w:rsid w:val="004B6915"/>
    <w:rsid w:val="004B7B1B"/>
    <w:rsid w:val="004D61EA"/>
    <w:rsid w:val="004D7B49"/>
    <w:rsid w:val="004E0544"/>
    <w:rsid w:val="004F1FBA"/>
    <w:rsid w:val="004F3299"/>
    <w:rsid w:val="00515FCC"/>
    <w:rsid w:val="00544345"/>
    <w:rsid w:val="0055479C"/>
    <w:rsid w:val="005557B4"/>
    <w:rsid w:val="00562D3D"/>
    <w:rsid w:val="005841CD"/>
    <w:rsid w:val="005847BB"/>
    <w:rsid w:val="0059213B"/>
    <w:rsid w:val="00596F3A"/>
    <w:rsid w:val="005B024F"/>
    <w:rsid w:val="005C775F"/>
    <w:rsid w:val="005D2EA9"/>
    <w:rsid w:val="005E2869"/>
    <w:rsid w:val="005E60F1"/>
    <w:rsid w:val="005F2120"/>
    <w:rsid w:val="005F2771"/>
    <w:rsid w:val="005F4A97"/>
    <w:rsid w:val="005F73A5"/>
    <w:rsid w:val="0061682B"/>
    <w:rsid w:val="00622991"/>
    <w:rsid w:val="00646166"/>
    <w:rsid w:val="00655A10"/>
    <w:rsid w:val="00682310"/>
    <w:rsid w:val="006A36EF"/>
    <w:rsid w:val="006B5C7E"/>
    <w:rsid w:val="006E27BF"/>
    <w:rsid w:val="006F25CA"/>
    <w:rsid w:val="006F6FA2"/>
    <w:rsid w:val="00711C4C"/>
    <w:rsid w:val="0073360D"/>
    <w:rsid w:val="0073446E"/>
    <w:rsid w:val="00756CE3"/>
    <w:rsid w:val="00761B4E"/>
    <w:rsid w:val="007966E9"/>
    <w:rsid w:val="007A46E2"/>
    <w:rsid w:val="007E317D"/>
    <w:rsid w:val="007E387D"/>
    <w:rsid w:val="007F6BEC"/>
    <w:rsid w:val="0080313B"/>
    <w:rsid w:val="00805FAA"/>
    <w:rsid w:val="0081236F"/>
    <w:rsid w:val="008124BD"/>
    <w:rsid w:val="00815B14"/>
    <w:rsid w:val="00825DF9"/>
    <w:rsid w:val="00826B1B"/>
    <w:rsid w:val="0084003D"/>
    <w:rsid w:val="00844956"/>
    <w:rsid w:val="00860524"/>
    <w:rsid w:val="0086416D"/>
    <w:rsid w:val="008660BD"/>
    <w:rsid w:val="00877117"/>
    <w:rsid w:val="00892C55"/>
    <w:rsid w:val="008A340C"/>
    <w:rsid w:val="008A5103"/>
    <w:rsid w:val="008A6F97"/>
    <w:rsid w:val="008B4CD5"/>
    <w:rsid w:val="008B718E"/>
    <w:rsid w:val="008C4975"/>
    <w:rsid w:val="008D3E4C"/>
    <w:rsid w:val="008E226B"/>
    <w:rsid w:val="008E4916"/>
    <w:rsid w:val="008F0F07"/>
    <w:rsid w:val="008F2A13"/>
    <w:rsid w:val="008F40ED"/>
    <w:rsid w:val="0091320A"/>
    <w:rsid w:val="00951C73"/>
    <w:rsid w:val="009615D9"/>
    <w:rsid w:val="00992BE1"/>
    <w:rsid w:val="009968C5"/>
    <w:rsid w:val="009A12F3"/>
    <w:rsid w:val="009A23AB"/>
    <w:rsid w:val="009B6F90"/>
    <w:rsid w:val="009C1909"/>
    <w:rsid w:val="009C1CD8"/>
    <w:rsid w:val="009C33F1"/>
    <w:rsid w:val="009D180E"/>
    <w:rsid w:val="009D79F4"/>
    <w:rsid w:val="00A0245A"/>
    <w:rsid w:val="00A20CE8"/>
    <w:rsid w:val="00A248BF"/>
    <w:rsid w:val="00A33E8D"/>
    <w:rsid w:val="00A47017"/>
    <w:rsid w:val="00A6488D"/>
    <w:rsid w:val="00A716FD"/>
    <w:rsid w:val="00A748DE"/>
    <w:rsid w:val="00A87390"/>
    <w:rsid w:val="00AA1139"/>
    <w:rsid w:val="00AB60E2"/>
    <w:rsid w:val="00AC51F4"/>
    <w:rsid w:val="00AD511F"/>
    <w:rsid w:val="00B01C28"/>
    <w:rsid w:val="00B32F4C"/>
    <w:rsid w:val="00B45991"/>
    <w:rsid w:val="00B55909"/>
    <w:rsid w:val="00B64F18"/>
    <w:rsid w:val="00B75CE7"/>
    <w:rsid w:val="00B87B75"/>
    <w:rsid w:val="00B87BB6"/>
    <w:rsid w:val="00B92FB1"/>
    <w:rsid w:val="00B96799"/>
    <w:rsid w:val="00B97DAC"/>
    <w:rsid w:val="00BC187D"/>
    <w:rsid w:val="00BF245F"/>
    <w:rsid w:val="00BF35E4"/>
    <w:rsid w:val="00C0321D"/>
    <w:rsid w:val="00C05C3E"/>
    <w:rsid w:val="00C10192"/>
    <w:rsid w:val="00C10E75"/>
    <w:rsid w:val="00C17EAB"/>
    <w:rsid w:val="00C21692"/>
    <w:rsid w:val="00C21B90"/>
    <w:rsid w:val="00C31F14"/>
    <w:rsid w:val="00C363C0"/>
    <w:rsid w:val="00C44B10"/>
    <w:rsid w:val="00C60A64"/>
    <w:rsid w:val="00C70F38"/>
    <w:rsid w:val="00C731C1"/>
    <w:rsid w:val="00C814CD"/>
    <w:rsid w:val="00C903DD"/>
    <w:rsid w:val="00C97693"/>
    <w:rsid w:val="00CC3D85"/>
    <w:rsid w:val="00CD00D9"/>
    <w:rsid w:val="00CE11EF"/>
    <w:rsid w:val="00D0485C"/>
    <w:rsid w:val="00D239E7"/>
    <w:rsid w:val="00D265D9"/>
    <w:rsid w:val="00D269E1"/>
    <w:rsid w:val="00D43A60"/>
    <w:rsid w:val="00D54508"/>
    <w:rsid w:val="00D5456A"/>
    <w:rsid w:val="00D54C2A"/>
    <w:rsid w:val="00D55E35"/>
    <w:rsid w:val="00D814DF"/>
    <w:rsid w:val="00DA27E1"/>
    <w:rsid w:val="00DA31BA"/>
    <w:rsid w:val="00DC147A"/>
    <w:rsid w:val="00DC3BC4"/>
    <w:rsid w:val="00DD0174"/>
    <w:rsid w:val="00DD0E45"/>
    <w:rsid w:val="00DD7E81"/>
    <w:rsid w:val="00DE72B9"/>
    <w:rsid w:val="00DF0547"/>
    <w:rsid w:val="00DF35BE"/>
    <w:rsid w:val="00DF5711"/>
    <w:rsid w:val="00E005E7"/>
    <w:rsid w:val="00E014CA"/>
    <w:rsid w:val="00E049A4"/>
    <w:rsid w:val="00E44935"/>
    <w:rsid w:val="00E45FDD"/>
    <w:rsid w:val="00E51423"/>
    <w:rsid w:val="00E77E41"/>
    <w:rsid w:val="00E8163B"/>
    <w:rsid w:val="00E82EAD"/>
    <w:rsid w:val="00E85AE0"/>
    <w:rsid w:val="00E90B5F"/>
    <w:rsid w:val="00E93724"/>
    <w:rsid w:val="00E965EA"/>
    <w:rsid w:val="00EA1CAD"/>
    <w:rsid w:val="00EA7211"/>
    <w:rsid w:val="00EC0F0F"/>
    <w:rsid w:val="00EC17FD"/>
    <w:rsid w:val="00EC4990"/>
    <w:rsid w:val="00ED03F7"/>
    <w:rsid w:val="00F07A4D"/>
    <w:rsid w:val="00F10A4E"/>
    <w:rsid w:val="00F407CF"/>
    <w:rsid w:val="00F5284E"/>
    <w:rsid w:val="00F534EC"/>
    <w:rsid w:val="00F60C35"/>
    <w:rsid w:val="00F8639D"/>
    <w:rsid w:val="00F90CCA"/>
    <w:rsid w:val="00F926BF"/>
    <w:rsid w:val="00F92EBF"/>
    <w:rsid w:val="00FB3FC5"/>
    <w:rsid w:val="00FD6CFC"/>
    <w:rsid w:val="00FF2772"/>
    <w:rsid w:val="00FF3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D426C9"/>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en-US"/>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en-US"/>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en-US"/>
    </w:rPr>
  </w:style>
  <w:style w:type="paragraph" w:styleId="Revision">
    <w:name w:val="Revision"/>
    <w:hidden/>
    <w:uiPriority w:val="99"/>
    <w:semiHidden/>
    <w:rsid w:val="0001553A"/>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53352">
      <w:bodyDiv w:val="1"/>
      <w:marLeft w:val="0"/>
      <w:marRight w:val="0"/>
      <w:marTop w:val="0"/>
      <w:marBottom w:val="0"/>
      <w:divBdr>
        <w:top w:val="none" w:sz="0" w:space="0" w:color="auto"/>
        <w:left w:val="none" w:sz="0" w:space="0" w:color="auto"/>
        <w:bottom w:val="none" w:sz="0" w:space="0" w:color="auto"/>
        <w:right w:val="none" w:sz="0" w:space="0" w:color="auto"/>
      </w:divBdr>
    </w:div>
    <w:div w:id="753629696">
      <w:bodyDiv w:val="1"/>
      <w:marLeft w:val="0"/>
      <w:marRight w:val="0"/>
      <w:marTop w:val="0"/>
      <w:marBottom w:val="0"/>
      <w:divBdr>
        <w:top w:val="none" w:sz="0" w:space="0" w:color="auto"/>
        <w:left w:val="none" w:sz="0" w:space="0" w:color="auto"/>
        <w:bottom w:val="none" w:sz="0" w:space="0" w:color="auto"/>
        <w:right w:val="none" w:sz="0" w:space="0" w:color="auto"/>
      </w:divBdr>
    </w:div>
    <w:div w:id="768890783">
      <w:bodyDiv w:val="1"/>
      <w:marLeft w:val="0"/>
      <w:marRight w:val="0"/>
      <w:marTop w:val="0"/>
      <w:marBottom w:val="0"/>
      <w:divBdr>
        <w:top w:val="none" w:sz="0" w:space="0" w:color="auto"/>
        <w:left w:val="none" w:sz="0" w:space="0" w:color="auto"/>
        <w:bottom w:val="none" w:sz="0" w:space="0" w:color="auto"/>
        <w:right w:val="none" w:sz="0" w:space="0" w:color="auto"/>
      </w:divBdr>
    </w:div>
    <w:div w:id="13073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mailto:communications@stellantis.com"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mailto:pierreolivier.salmon@stellantis.com" TargetMode="External"/><Relationship Id="rId2" Type="http://schemas.openxmlformats.org/officeDocument/2006/relationships/customXml" Target="../customXml/item1.xml"/><Relationship Id="rId16" Type="http://schemas.openxmlformats.org/officeDocument/2006/relationships/hyperlink" Target="mailto:shawn.morgan@stellantis.com"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stellantis.com/fr/actualite/evenements-presse" TargetMode="Externa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yperlink" Target="https://www.stellantis.com/fr/actualite/communiques-de-presse/2021/decembre/ces-2022-stellantis-presente-ses-technologies-avancees-pour-la-mobilite-de-demain-avec-des-experiences-phygitales" TargetMode="External"/><Relationship Id="rId19" Type="http://schemas.openxmlformats.org/officeDocument/2006/relationships/hyperlink" Target="http://www.stellantis.com" TargetMode="External"/><Relationship Id="rId4" Type="http://schemas.openxmlformats.org/officeDocument/2006/relationships/styles" Target="styles.xml"/><Relationship Id="rId9" Type="http://schemas.openxmlformats.org/officeDocument/2006/relationships/hyperlink" Target="https://stellantis.ezlivecaption.com/Stellantis_CES_2022/main.htm" TargetMode="External"/><Relationship Id="rId14" Type="http://schemas.openxmlformats.org/officeDocument/2006/relationships/image" Target="media/image3.emf"/><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EAAF4-2804-49F0-A99A-F32FACFE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26</TotalTime>
  <Pages>2</Pages>
  <Words>384</Words>
  <Characters>2193</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Paul Johnston</cp:lastModifiedBy>
  <cp:revision>6</cp:revision>
  <cp:lastPrinted>2021-10-26T21:49:00Z</cp:lastPrinted>
  <dcterms:created xsi:type="dcterms:W3CDTF">2022-01-03T20:29:00Z</dcterms:created>
  <dcterms:modified xsi:type="dcterms:W3CDTF">2022-01-03T21:22:00Z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MSIP_Label_2fd53d93-3f4c-4b90-b511-bd6bdbb4fba9_Enabled">
    <vt:lpwstr>true</vt:lpwstr>
  </property>
  <property fmtid="{D5CDD505-2E9C-101B-9397-08002B2CF9AE}" pid="5" name="MSIP_Label_2fd53d93-3f4c-4b90-b511-bd6bdbb4fba9_SetDate">
    <vt:lpwstr>2022-01-02T18:07:45Z</vt:lpwstr>
  </property>
  <property fmtid="{D5CDD505-2E9C-101B-9397-08002B2CF9AE}" pid="6" name="MSIP_Label_2fd53d93-3f4c-4b90-b511-bd6bdbb4fba9_Method">
    <vt:lpwstr>Standard</vt:lpwstr>
  </property>
  <property fmtid="{D5CDD505-2E9C-101B-9397-08002B2CF9AE}" pid="7" name="MSIP_Label_2fd53d93-3f4c-4b90-b511-bd6bdbb4fba9_Name">
    <vt:lpwstr>2fd53d93-3f4c-4b90-b511-bd6bdbb4fba9</vt:lpwstr>
  </property>
  <property fmtid="{D5CDD505-2E9C-101B-9397-08002B2CF9AE}" pid="8" name="MSIP_Label_2fd53d93-3f4c-4b90-b511-bd6bdbb4fba9_SiteId">
    <vt:lpwstr>d852d5cd-724c-4128-8812-ffa5db3f8507</vt:lpwstr>
  </property>
  <property fmtid="{D5CDD505-2E9C-101B-9397-08002B2CF9AE}" pid="9" name="MSIP_Label_2fd53d93-3f4c-4b90-b511-bd6bdbb4fba9_ActionId">
    <vt:lpwstr>cc936cbd-bb3f-4ad6-8faf-e6153cc296d6</vt:lpwstr>
  </property>
  <property fmtid="{D5CDD505-2E9C-101B-9397-08002B2CF9AE}" pid="10" name="MSIP_Label_2fd53d93-3f4c-4b90-b511-bd6bdbb4fba9_ContentBits">
    <vt:lpwstr>0</vt:lpwstr>
  </property>
</Properties>
</file>