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143C" w14:textId="0FFB770A" w:rsidR="00791D05" w:rsidRDefault="00F22F38" w:rsidP="00241C78">
      <w:pPr>
        <w:pStyle w:val="paragraph"/>
        <w:spacing w:before="0" w:beforeAutospacing="0" w:after="0" w:afterAutospacing="0"/>
        <w:jc w:val="center"/>
        <w:textAlignment w:val="baseline"/>
        <w:rPr>
          <w:rFonts w:ascii="Arial" w:hAnsi="Arial" w:cs="Arial"/>
          <w:b/>
          <w:bCs/>
          <w:lang w:eastAsia="en-US"/>
        </w:rPr>
      </w:pPr>
      <w:r w:rsidRPr="00F22F38">
        <w:rPr>
          <w:rFonts w:ascii="Arial" w:hAnsi="Arial" w:cs="Arial"/>
          <w:b/>
          <w:bCs/>
          <w:sz w:val="28"/>
          <w:szCs w:val="28"/>
          <w:lang w:eastAsia="en-US"/>
        </w:rPr>
        <w:t>Stellantis et TotalEnergies accueillent Mercedes-Benz comme nouveau partenaire d</w:t>
      </w:r>
      <w:r w:rsidR="002E2363">
        <w:rPr>
          <w:rFonts w:ascii="Arial" w:hAnsi="Arial" w:cs="Arial"/>
          <w:b/>
          <w:bCs/>
          <w:sz w:val="28"/>
          <w:szCs w:val="28"/>
          <w:lang w:eastAsia="en-US"/>
        </w:rPr>
        <w:t>’</w:t>
      </w:r>
      <w:r w:rsidRPr="00F22F38">
        <w:rPr>
          <w:rFonts w:ascii="Arial" w:hAnsi="Arial" w:cs="Arial"/>
          <w:b/>
          <w:bCs/>
          <w:sz w:val="28"/>
          <w:szCs w:val="28"/>
          <w:lang w:eastAsia="en-US"/>
        </w:rPr>
        <w:t>Automotive Cells Company (ACC) et portent son objectif de capacité à au moins 120</w:t>
      </w:r>
      <w:r w:rsidR="007F1578">
        <w:rPr>
          <w:rFonts w:ascii="Arial" w:hAnsi="Arial" w:cs="Arial"/>
          <w:b/>
          <w:bCs/>
          <w:sz w:val="28"/>
          <w:szCs w:val="28"/>
          <w:lang w:eastAsia="en-US"/>
        </w:rPr>
        <w:t xml:space="preserve"> </w:t>
      </w:r>
      <w:r w:rsidRPr="00F22F38">
        <w:rPr>
          <w:rFonts w:ascii="Arial" w:hAnsi="Arial" w:cs="Arial"/>
          <w:b/>
          <w:bCs/>
          <w:sz w:val="28"/>
          <w:szCs w:val="28"/>
          <w:lang w:eastAsia="en-US"/>
        </w:rPr>
        <w:t>GWh d</w:t>
      </w:r>
      <w:r w:rsidR="002E2363">
        <w:rPr>
          <w:rFonts w:ascii="Arial" w:hAnsi="Arial" w:cs="Arial"/>
          <w:b/>
          <w:bCs/>
          <w:sz w:val="28"/>
          <w:szCs w:val="28"/>
          <w:lang w:eastAsia="en-US"/>
        </w:rPr>
        <w:t>’</w:t>
      </w:r>
      <w:r w:rsidRPr="00F22F38">
        <w:rPr>
          <w:rFonts w:ascii="Arial" w:hAnsi="Arial" w:cs="Arial"/>
          <w:b/>
          <w:bCs/>
          <w:sz w:val="28"/>
          <w:szCs w:val="28"/>
          <w:lang w:eastAsia="en-US"/>
        </w:rPr>
        <w:t>ici 2030</w:t>
      </w:r>
    </w:p>
    <w:p w14:paraId="21D3D97E" w14:textId="77912692" w:rsidR="0078241F" w:rsidRDefault="0078241F" w:rsidP="00241C78">
      <w:pPr>
        <w:pStyle w:val="paragraph"/>
        <w:spacing w:before="0" w:beforeAutospacing="0" w:after="0" w:afterAutospacing="0"/>
        <w:jc w:val="center"/>
        <w:textAlignment w:val="baseline"/>
        <w:rPr>
          <w:rFonts w:ascii="Arial" w:hAnsi="Arial" w:cs="Arial"/>
          <w:b/>
          <w:bCs/>
          <w:lang w:eastAsia="en-US"/>
        </w:rPr>
      </w:pPr>
    </w:p>
    <w:p w14:paraId="1681A5E1" w14:textId="77777777" w:rsidR="00D661E2" w:rsidRPr="00BB653C" w:rsidRDefault="00D661E2" w:rsidP="00241C78">
      <w:pPr>
        <w:pStyle w:val="paragraph"/>
        <w:spacing w:before="0" w:beforeAutospacing="0" w:after="0" w:afterAutospacing="0"/>
        <w:jc w:val="center"/>
        <w:textAlignment w:val="baseline"/>
        <w:rPr>
          <w:rFonts w:ascii="Arial" w:hAnsi="Arial" w:cs="Arial"/>
          <w:b/>
          <w:bCs/>
          <w:lang w:eastAsia="en-US"/>
        </w:rPr>
      </w:pPr>
    </w:p>
    <w:p w14:paraId="53FA95B4" w14:textId="518C1676" w:rsidR="00283229" w:rsidRPr="005F5EAE" w:rsidRDefault="00B12C44" w:rsidP="007547AA">
      <w:pPr>
        <w:pStyle w:val="Paragraphedeliste"/>
        <w:numPr>
          <w:ilvl w:val="0"/>
          <w:numId w:val="2"/>
        </w:numPr>
        <w:spacing w:line="240" w:lineRule="auto"/>
        <w:ind w:left="720"/>
        <w:jc w:val="both"/>
        <w:rPr>
          <w:rFonts w:ascii="Arial" w:hAnsi="Arial" w:cs="Arial"/>
          <w:i/>
          <w:iCs/>
        </w:rPr>
      </w:pPr>
      <w:r>
        <w:rPr>
          <w:rFonts w:ascii="Arial" w:hAnsi="Arial"/>
          <w:i/>
        </w:rPr>
        <w:t>Mercedes-Benz devient actionnaire d</w:t>
      </w:r>
      <w:r w:rsidR="002E2363">
        <w:rPr>
          <w:rFonts w:ascii="Arial" w:hAnsi="Arial"/>
          <w:i/>
        </w:rPr>
        <w:t>’</w:t>
      </w:r>
      <w:r>
        <w:rPr>
          <w:rFonts w:ascii="Arial" w:hAnsi="Arial"/>
          <w:i/>
        </w:rPr>
        <w:t>ACC à part</w:t>
      </w:r>
      <w:r w:rsidR="00AA0455">
        <w:rPr>
          <w:rFonts w:ascii="Arial" w:hAnsi="Arial"/>
          <w:i/>
        </w:rPr>
        <w:t xml:space="preserve"> </w:t>
      </w:r>
      <w:r>
        <w:rPr>
          <w:rFonts w:ascii="Arial" w:hAnsi="Arial"/>
          <w:i/>
        </w:rPr>
        <w:t>égale avec Stellantis et TotalEnergies</w:t>
      </w:r>
      <w:r w:rsidR="00DF13BF">
        <w:rPr>
          <w:rFonts w:ascii="Arial" w:hAnsi="Arial"/>
          <w:i/>
        </w:rPr>
        <w:t>, à hauteur d</w:t>
      </w:r>
      <w:r w:rsidR="002E2363">
        <w:rPr>
          <w:rFonts w:ascii="Arial" w:hAnsi="Arial"/>
          <w:i/>
        </w:rPr>
        <w:t>’</w:t>
      </w:r>
      <w:r w:rsidR="00DF13BF">
        <w:rPr>
          <w:rFonts w:ascii="Arial" w:hAnsi="Arial"/>
          <w:i/>
        </w:rPr>
        <w:t>un tiers du capital</w:t>
      </w:r>
      <w:r w:rsidR="007547AA">
        <w:rPr>
          <w:rFonts w:ascii="Arial" w:hAnsi="Arial"/>
          <w:i/>
        </w:rPr>
        <w:t>.</w:t>
      </w:r>
    </w:p>
    <w:p w14:paraId="35184632" w14:textId="01573873" w:rsidR="0079416F" w:rsidRPr="0079416F" w:rsidRDefault="0079416F" w:rsidP="00D661E2">
      <w:pPr>
        <w:pStyle w:val="Paragraphedeliste"/>
        <w:numPr>
          <w:ilvl w:val="0"/>
          <w:numId w:val="2"/>
        </w:numPr>
        <w:spacing w:after="0" w:line="240" w:lineRule="auto"/>
        <w:ind w:left="720"/>
        <w:jc w:val="both"/>
        <w:rPr>
          <w:rFonts w:ascii="Arial" w:hAnsi="Arial" w:cs="Arial"/>
          <w:i/>
          <w:iCs/>
        </w:rPr>
      </w:pPr>
      <w:bookmarkStart w:id="0" w:name="_Hlk83230347"/>
      <w:r w:rsidRPr="0079416F">
        <w:rPr>
          <w:rFonts w:ascii="Arial" w:hAnsi="Arial"/>
          <w:i/>
        </w:rPr>
        <w:t xml:space="preserve">Mercedes-Benz apportera son savoir-faire technologique et </w:t>
      </w:r>
      <w:r w:rsidR="00594952">
        <w:rPr>
          <w:rFonts w:ascii="Arial" w:hAnsi="Arial"/>
          <w:i/>
        </w:rPr>
        <w:t>industriel</w:t>
      </w:r>
      <w:r w:rsidRPr="0079416F">
        <w:rPr>
          <w:rFonts w:ascii="Arial" w:hAnsi="Arial"/>
          <w:i/>
        </w:rPr>
        <w:t xml:space="preserve"> à Automotive Cells Company (ACC)</w:t>
      </w:r>
      <w:r w:rsidR="00C76535">
        <w:rPr>
          <w:rFonts w:ascii="Arial" w:hAnsi="Arial"/>
          <w:i/>
        </w:rPr>
        <w:t>.</w:t>
      </w:r>
    </w:p>
    <w:p w14:paraId="09BB9C91" w14:textId="59338540" w:rsidR="0079416F" w:rsidRPr="00D661E2" w:rsidRDefault="005F5EAE" w:rsidP="00D661E2">
      <w:pPr>
        <w:pStyle w:val="Paragraphedeliste"/>
        <w:numPr>
          <w:ilvl w:val="0"/>
          <w:numId w:val="2"/>
        </w:numPr>
        <w:spacing w:after="0" w:line="240" w:lineRule="auto"/>
        <w:ind w:left="720"/>
        <w:jc w:val="both"/>
        <w:rPr>
          <w:rFonts w:ascii="Arial" w:hAnsi="Arial" w:cs="Arial"/>
          <w:i/>
          <w:iCs/>
        </w:rPr>
      </w:pPr>
      <w:r w:rsidRPr="005F5EAE">
        <w:rPr>
          <w:rFonts w:ascii="Arial" w:hAnsi="Arial"/>
          <w:i/>
        </w:rPr>
        <w:t xml:space="preserve">Les partenaires </w:t>
      </w:r>
      <w:r w:rsidR="00BF78E9">
        <w:rPr>
          <w:rFonts w:ascii="Arial" w:hAnsi="Arial"/>
          <w:i/>
        </w:rPr>
        <w:t>entendent</w:t>
      </w:r>
      <w:r w:rsidRPr="005F5EAE">
        <w:rPr>
          <w:rFonts w:ascii="Arial" w:hAnsi="Arial"/>
          <w:i/>
        </w:rPr>
        <w:t xml:space="preserve"> accélérer le développement </w:t>
      </w:r>
      <w:r w:rsidR="0079416F">
        <w:rPr>
          <w:rFonts w:ascii="Arial" w:hAnsi="Arial"/>
          <w:i/>
        </w:rPr>
        <w:t>d</w:t>
      </w:r>
      <w:r w:rsidR="002E2363">
        <w:rPr>
          <w:rFonts w:ascii="Arial" w:hAnsi="Arial"/>
          <w:i/>
        </w:rPr>
        <w:t>’</w:t>
      </w:r>
      <w:r w:rsidR="0079416F">
        <w:rPr>
          <w:rFonts w:ascii="Arial" w:hAnsi="Arial"/>
          <w:i/>
        </w:rPr>
        <w:t>ACC,</w:t>
      </w:r>
      <w:r w:rsidR="00BF78E9">
        <w:rPr>
          <w:rFonts w:ascii="Arial" w:hAnsi="Arial"/>
          <w:i/>
        </w:rPr>
        <w:t xml:space="preserve"> avec l</w:t>
      </w:r>
      <w:r w:rsidR="002E2363">
        <w:rPr>
          <w:rFonts w:ascii="Arial" w:hAnsi="Arial"/>
          <w:i/>
        </w:rPr>
        <w:t>’</w:t>
      </w:r>
      <w:r w:rsidRPr="005F5EAE">
        <w:rPr>
          <w:rFonts w:ascii="Arial" w:hAnsi="Arial"/>
          <w:i/>
        </w:rPr>
        <w:t xml:space="preserve">objectif </w:t>
      </w:r>
      <w:r w:rsidR="00BF78E9">
        <w:rPr>
          <w:rFonts w:ascii="Arial" w:hAnsi="Arial"/>
          <w:i/>
        </w:rPr>
        <w:t>d</w:t>
      </w:r>
      <w:r w:rsidR="002E2363">
        <w:rPr>
          <w:rFonts w:ascii="Arial" w:hAnsi="Arial"/>
          <w:i/>
        </w:rPr>
        <w:t>’</w:t>
      </w:r>
      <w:r w:rsidRPr="005F5EAE">
        <w:rPr>
          <w:rFonts w:ascii="Arial" w:hAnsi="Arial"/>
          <w:i/>
        </w:rPr>
        <w:t xml:space="preserve">une capacité </w:t>
      </w:r>
      <w:r w:rsidR="00BF78E9">
        <w:rPr>
          <w:rFonts w:ascii="Arial" w:hAnsi="Arial"/>
          <w:i/>
        </w:rPr>
        <w:t>minimum</w:t>
      </w:r>
      <w:r w:rsidR="00BF78E9" w:rsidRPr="005F5EAE">
        <w:rPr>
          <w:rFonts w:ascii="Arial" w:hAnsi="Arial"/>
          <w:i/>
        </w:rPr>
        <w:t xml:space="preserve"> </w:t>
      </w:r>
      <w:r w:rsidRPr="005F5EAE">
        <w:rPr>
          <w:rFonts w:ascii="Arial" w:hAnsi="Arial"/>
          <w:i/>
        </w:rPr>
        <w:t>de 120 GWh</w:t>
      </w:r>
      <w:r w:rsidR="00DF13BF">
        <w:rPr>
          <w:rFonts w:ascii="Arial" w:hAnsi="Arial"/>
          <w:i/>
        </w:rPr>
        <w:t xml:space="preserve"> </w:t>
      </w:r>
      <w:bookmarkEnd w:id="0"/>
      <w:r w:rsidR="00DF13BF">
        <w:rPr>
          <w:rFonts w:ascii="Arial" w:hAnsi="Arial"/>
          <w:i/>
        </w:rPr>
        <w:t xml:space="preserve">de </w:t>
      </w:r>
      <w:r w:rsidR="00312433">
        <w:rPr>
          <w:rFonts w:ascii="Arial" w:hAnsi="Arial"/>
          <w:i/>
        </w:rPr>
        <w:t xml:space="preserve">production de </w:t>
      </w:r>
      <w:r w:rsidR="0079416F" w:rsidRPr="005F5EAE">
        <w:rPr>
          <w:rFonts w:ascii="Arial" w:hAnsi="Arial"/>
          <w:i/>
        </w:rPr>
        <w:t xml:space="preserve">cellules </w:t>
      </w:r>
      <w:r w:rsidR="00DF13BF">
        <w:rPr>
          <w:rFonts w:ascii="Arial" w:hAnsi="Arial"/>
          <w:i/>
        </w:rPr>
        <w:t>d</w:t>
      </w:r>
      <w:r w:rsidR="002E2363">
        <w:rPr>
          <w:rFonts w:ascii="Arial" w:hAnsi="Arial"/>
          <w:i/>
        </w:rPr>
        <w:t>’</w:t>
      </w:r>
      <w:r w:rsidR="00DF13BF">
        <w:rPr>
          <w:rFonts w:ascii="Arial" w:hAnsi="Arial"/>
          <w:i/>
        </w:rPr>
        <w:t>ici 2030</w:t>
      </w:r>
      <w:r w:rsidR="007547AA">
        <w:rPr>
          <w:rFonts w:ascii="Arial" w:hAnsi="Arial"/>
          <w:i/>
        </w:rPr>
        <w:t>.</w:t>
      </w:r>
    </w:p>
    <w:p w14:paraId="4E85C998" w14:textId="76ECB772" w:rsidR="00D661E2" w:rsidRDefault="00D661E2" w:rsidP="00D661E2">
      <w:pPr>
        <w:pStyle w:val="Paragraphedeliste"/>
        <w:spacing w:after="0" w:line="240" w:lineRule="auto"/>
        <w:rPr>
          <w:rFonts w:ascii="Arial" w:hAnsi="Arial" w:cs="Arial"/>
          <w:i/>
          <w:iCs/>
        </w:rPr>
      </w:pPr>
    </w:p>
    <w:p w14:paraId="7246812E" w14:textId="77777777" w:rsidR="00D661E2" w:rsidRPr="0079416F" w:rsidRDefault="00D661E2" w:rsidP="00D661E2">
      <w:pPr>
        <w:pStyle w:val="Paragraphedeliste"/>
        <w:spacing w:after="0" w:line="240" w:lineRule="auto"/>
        <w:rPr>
          <w:rFonts w:ascii="Arial" w:hAnsi="Arial" w:cs="Arial"/>
          <w:i/>
          <w:iCs/>
        </w:rPr>
      </w:pPr>
    </w:p>
    <w:p w14:paraId="1DB53F5D" w14:textId="59356C26" w:rsidR="00E759B8" w:rsidRDefault="003D5E94" w:rsidP="00D661E2">
      <w:pPr>
        <w:rPr>
          <w:rFonts w:ascii="Arial" w:hAnsi="Arial"/>
          <w:color w:val="000000" w:themeColor="text1"/>
          <w:sz w:val="22"/>
        </w:rPr>
      </w:pPr>
      <w:r>
        <w:rPr>
          <w:rFonts w:ascii="Arial" w:hAnsi="Arial"/>
          <w:b/>
          <w:sz w:val="22"/>
        </w:rPr>
        <w:t xml:space="preserve">Paris, le </w:t>
      </w:r>
      <w:r w:rsidR="00CC4493">
        <w:rPr>
          <w:rFonts w:ascii="Arial" w:hAnsi="Arial"/>
          <w:b/>
          <w:sz w:val="22"/>
        </w:rPr>
        <w:t>24</w:t>
      </w:r>
      <w:r>
        <w:rPr>
          <w:rFonts w:ascii="Arial" w:hAnsi="Arial"/>
          <w:b/>
          <w:sz w:val="22"/>
        </w:rPr>
        <w:t xml:space="preserve"> septembre 2021 – </w:t>
      </w:r>
      <w:r w:rsidR="0001548C" w:rsidRPr="0001548C">
        <w:rPr>
          <w:rFonts w:ascii="Arial" w:hAnsi="Arial"/>
          <w:bCs/>
          <w:sz w:val="22"/>
        </w:rPr>
        <w:t xml:space="preserve">Stellantis, TotalEnergies et Mercedes-Benz ont </w:t>
      </w:r>
      <w:r w:rsidR="008753D4">
        <w:rPr>
          <w:rFonts w:ascii="Arial" w:hAnsi="Arial"/>
          <w:bCs/>
          <w:sz w:val="22"/>
        </w:rPr>
        <w:t xml:space="preserve">conclu des </w:t>
      </w:r>
      <w:r w:rsidR="0001548C" w:rsidRPr="0001548C">
        <w:rPr>
          <w:rFonts w:ascii="Arial" w:hAnsi="Arial"/>
          <w:bCs/>
          <w:sz w:val="22"/>
        </w:rPr>
        <w:t xml:space="preserve">accords </w:t>
      </w:r>
      <w:r w:rsidR="0001548C">
        <w:rPr>
          <w:rFonts w:ascii="Arial" w:hAnsi="Arial"/>
          <w:bCs/>
          <w:sz w:val="22"/>
        </w:rPr>
        <w:t>en vue</w:t>
      </w:r>
      <w:r w:rsidR="0001548C" w:rsidRPr="0001548C">
        <w:rPr>
          <w:rFonts w:ascii="Arial" w:hAnsi="Arial"/>
          <w:bCs/>
          <w:sz w:val="22"/>
        </w:rPr>
        <w:t xml:space="preserve"> </w:t>
      </w:r>
      <w:r w:rsidR="0001548C">
        <w:rPr>
          <w:rFonts w:ascii="Arial" w:hAnsi="Arial"/>
          <w:bCs/>
          <w:sz w:val="22"/>
        </w:rPr>
        <w:t>d</w:t>
      </w:r>
      <w:r w:rsidR="002E2363">
        <w:rPr>
          <w:rFonts w:ascii="Arial" w:hAnsi="Arial"/>
          <w:bCs/>
          <w:sz w:val="22"/>
        </w:rPr>
        <w:t>’</w:t>
      </w:r>
      <w:r w:rsidR="0001548C" w:rsidRPr="0001548C">
        <w:rPr>
          <w:rFonts w:ascii="Arial" w:hAnsi="Arial"/>
          <w:bCs/>
          <w:sz w:val="22"/>
        </w:rPr>
        <w:t>accueillir Mercedes-Benz comme nouveau partenaire d</w:t>
      </w:r>
      <w:r w:rsidR="002E2363">
        <w:rPr>
          <w:rFonts w:ascii="Arial" w:hAnsi="Arial"/>
          <w:bCs/>
          <w:sz w:val="22"/>
        </w:rPr>
        <w:t>’</w:t>
      </w:r>
      <w:r w:rsidR="0001548C" w:rsidRPr="0001548C">
        <w:rPr>
          <w:rFonts w:ascii="Arial" w:hAnsi="Arial"/>
          <w:bCs/>
          <w:sz w:val="22"/>
        </w:rPr>
        <w:t>Automotive Cells Company (ACC)</w:t>
      </w:r>
      <w:r w:rsidR="00746D66">
        <w:rPr>
          <w:rFonts w:ascii="Arial" w:hAnsi="Arial"/>
          <w:bCs/>
          <w:sz w:val="22"/>
        </w:rPr>
        <w:t xml:space="preserve">. </w:t>
      </w:r>
      <w:r w:rsidR="00BC7763">
        <w:rPr>
          <w:rFonts w:ascii="Arial" w:hAnsi="Arial"/>
          <w:color w:val="000000" w:themeColor="text1"/>
          <w:sz w:val="22"/>
        </w:rPr>
        <w:t xml:space="preserve"> </w:t>
      </w:r>
      <w:r w:rsidR="000253AD" w:rsidRPr="0001548C">
        <w:rPr>
          <w:rFonts w:ascii="Arial" w:hAnsi="Arial"/>
          <w:bCs/>
          <w:sz w:val="22"/>
        </w:rPr>
        <w:t xml:space="preserve">Après </w:t>
      </w:r>
      <w:r w:rsidR="00664013">
        <w:rPr>
          <w:rFonts w:ascii="Arial" w:hAnsi="Arial"/>
          <w:bCs/>
          <w:sz w:val="22"/>
        </w:rPr>
        <w:t>cette</w:t>
      </w:r>
      <w:r w:rsidR="000253AD" w:rsidRPr="0001548C">
        <w:rPr>
          <w:rFonts w:ascii="Arial" w:hAnsi="Arial"/>
          <w:bCs/>
          <w:sz w:val="22"/>
        </w:rPr>
        <w:t xml:space="preserve"> entrée, les partenaires se sont engagés à porter la capacité industrielle d</w:t>
      </w:r>
      <w:r w:rsidR="002E2363">
        <w:rPr>
          <w:rFonts w:ascii="Arial" w:hAnsi="Arial"/>
          <w:bCs/>
          <w:sz w:val="22"/>
        </w:rPr>
        <w:t>’</w:t>
      </w:r>
      <w:r w:rsidR="000253AD" w:rsidRPr="0001548C">
        <w:rPr>
          <w:rFonts w:ascii="Arial" w:hAnsi="Arial"/>
          <w:bCs/>
          <w:sz w:val="22"/>
        </w:rPr>
        <w:t xml:space="preserve">ACC à 120 GWh </w:t>
      </w:r>
      <w:r w:rsidR="00BC7763">
        <w:rPr>
          <w:rFonts w:ascii="Arial" w:hAnsi="Arial"/>
          <w:bCs/>
          <w:sz w:val="22"/>
        </w:rPr>
        <w:t xml:space="preserve">minimum </w:t>
      </w:r>
      <w:r w:rsidR="000253AD" w:rsidRPr="0001548C">
        <w:rPr>
          <w:rFonts w:ascii="Arial" w:hAnsi="Arial"/>
          <w:bCs/>
          <w:sz w:val="22"/>
        </w:rPr>
        <w:t>d</w:t>
      </w:r>
      <w:r w:rsidR="002E2363">
        <w:rPr>
          <w:rFonts w:ascii="Arial" w:hAnsi="Arial"/>
          <w:bCs/>
          <w:sz w:val="22"/>
        </w:rPr>
        <w:t>’</w:t>
      </w:r>
      <w:r w:rsidR="000253AD" w:rsidRPr="0001548C">
        <w:rPr>
          <w:rFonts w:ascii="Arial" w:hAnsi="Arial"/>
          <w:bCs/>
          <w:sz w:val="22"/>
        </w:rPr>
        <w:t xml:space="preserve">ici </w:t>
      </w:r>
      <w:r w:rsidR="000253AD">
        <w:rPr>
          <w:rFonts w:ascii="Arial" w:hAnsi="Arial"/>
          <w:bCs/>
          <w:sz w:val="22"/>
        </w:rPr>
        <w:t>2030.</w:t>
      </w:r>
      <w:r w:rsidR="00C76535" w:rsidRPr="00C76535">
        <w:rPr>
          <w:rFonts w:ascii="Arial" w:hAnsi="Arial"/>
          <w:color w:val="000000" w:themeColor="text1"/>
          <w:sz w:val="22"/>
        </w:rPr>
        <w:t xml:space="preserve"> </w:t>
      </w:r>
      <w:r w:rsidR="00C76535">
        <w:rPr>
          <w:rFonts w:ascii="Arial" w:hAnsi="Arial"/>
          <w:color w:val="000000" w:themeColor="text1"/>
          <w:sz w:val="22"/>
        </w:rPr>
        <w:t xml:space="preserve">La transaction est conditionnée à la finalisation des accords définitifs, aux conditions usuelles en matière de </w:t>
      </w:r>
      <w:r w:rsidR="002E2363">
        <w:rPr>
          <w:rFonts w:ascii="Arial" w:hAnsi="Arial"/>
          <w:color w:val="000000" w:themeColor="text1"/>
          <w:sz w:val="22"/>
        </w:rPr>
        <w:t>‘</w:t>
      </w:r>
      <w:r w:rsidR="00C76535">
        <w:rPr>
          <w:rFonts w:ascii="Arial" w:hAnsi="Arial"/>
          <w:color w:val="000000" w:themeColor="text1"/>
          <w:sz w:val="22"/>
        </w:rPr>
        <w:t>closing</w:t>
      </w:r>
      <w:r w:rsidR="002E2363">
        <w:rPr>
          <w:rFonts w:ascii="Arial" w:hAnsi="Arial"/>
          <w:color w:val="000000" w:themeColor="text1"/>
          <w:sz w:val="22"/>
        </w:rPr>
        <w:t>’</w:t>
      </w:r>
      <w:r w:rsidR="00C76535">
        <w:rPr>
          <w:rFonts w:ascii="Arial" w:hAnsi="Arial"/>
          <w:color w:val="000000" w:themeColor="text1"/>
          <w:sz w:val="22"/>
        </w:rPr>
        <w:t xml:space="preserve"> et aux approbations des autorités compétentes.</w:t>
      </w:r>
    </w:p>
    <w:p w14:paraId="044A42C1" w14:textId="2FEF8C67" w:rsidR="008711E2" w:rsidRPr="00DF13BF" w:rsidRDefault="008711E2" w:rsidP="008E752E">
      <w:pPr>
        <w:rPr>
          <w:rFonts w:ascii="Arial" w:hAnsi="Arial"/>
          <w:sz w:val="22"/>
        </w:rPr>
      </w:pPr>
    </w:p>
    <w:p w14:paraId="0C257B98" w14:textId="6ADF33E5" w:rsidR="0022564E" w:rsidRPr="001C5533" w:rsidRDefault="008711E2" w:rsidP="008E752E">
      <w:pPr>
        <w:rPr>
          <w:rFonts w:ascii="Arial" w:hAnsi="Arial" w:cs="Arial"/>
          <w:sz w:val="22"/>
          <w:szCs w:val="22"/>
        </w:rPr>
      </w:pPr>
      <w:r>
        <w:rPr>
          <w:rFonts w:ascii="Arial" w:hAnsi="Arial"/>
          <w:sz w:val="22"/>
        </w:rPr>
        <w:t xml:space="preserve">ACC est le </w:t>
      </w:r>
      <w:r w:rsidR="001F4BE4">
        <w:rPr>
          <w:rFonts w:ascii="Arial" w:hAnsi="Arial"/>
          <w:sz w:val="22"/>
        </w:rPr>
        <w:t>résultat</w:t>
      </w:r>
      <w:r>
        <w:rPr>
          <w:rFonts w:ascii="Arial" w:hAnsi="Arial"/>
          <w:sz w:val="22"/>
        </w:rPr>
        <w:t xml:space="preserve"> d</w:t>
      </w:r>
      <w:r w:rsidR="002E2363">
        <w:rPr>
          <w:rFonts w:ascii="Arial" w:hAnsi="Arial"/>
          <w:sz w:val="22"/>
        </w:rPr>
        <w:t>’</w:t>
      </w:r>
      <w:r>
        <w:rPr>
          <w:rFonts w:ascii="Arial" w:hAnsi="Arial"/>
          <w:sz w:val="22"/>
        </w:rPr>
        <w:t>une initiative entreprise</w:t>
      </w:r>
      <w:r w:rsidR="00E1756B">
        <w:rPr>
          <w:rFonts w:ascii="Arial" w:hAnsi="Arial"/>
          <w:sz w:val="22"/>
        </w:rPr>
        <w:t xml:space="preserve"> en 2020</w:t>
      </w:r>
      <w:r>
        <w:rPr>
          <w:rFonts w:ascii="Arial" w:hAnsi="Arial"/>
          <w:sz w:val="22"/>
        </w:rPr>
        <w:t xml:space="preserve"> par Stellantis et TotalEnergies</w:t>
      </w:r>
      <w:r w:rsidR="00C76535">
        <w:rPr>
          <w:rFonts w:ascii="Arial" w:hAnsi="Arial"/>
          <w:sz w:val="22"/>
        </w:rPr>
        <w:t xml:space="preserve">, </w:t>
      </w:r>
      <w:r w:rsidR="00E1756B">
        <w:rPr>
          <w:rFonts w:ascii="Arial" w:hAnsi="Arial"/>
          <w:sz w:val="22"/>
        </w:rPr>
        <w:t xml:space="preserve">conjointement </w:t>
      </w:r>
      <w:r w:rsidR="00C76535">
        <w:rPr>
          <w:rFonts w:ascii="Arial" w:hAnsi="Arial"/>
          <w:sz w:val="22"/>
        </w:rPr>
        <w:t>avec sa filiale Saft,</w:t>
      </w:r>
      <w:r>
        <w:rPr>
          <w:rFonts w:ascii="Arial" w:hAnsi="Arial"/>
          <w:sz w:val="22"/>
        </w:rPr>
        <w:t xml:space="preserve"> </w:t>
      </w:r>
      <w:r w:rsidR="00E9721E">
        <w:rPr>
          <w:rFonts w:ascii="Arial" w:hAnsi="Arial"/>
          <w:sz w:val="22"/>
        </w:rPr>
        <w:t>soutenu</w:t>
      </w:r>
      <w:r>
        <w:rPr>
          <w:rFonts w:ascii="Arial" w:hAnsi="Arial"/>
          <w:sz w:val="22"/>
        </w:rPr>
        <w:t>e par la France</w:t>
      </w:r>
      <w:r w:rsidR="001F4BE4">
        <w:rPr>
          <w:rFonts w:ascii="Arial" w:hAnsi="Arial"/>
          <w:sz w:val="22"/>
        </w:rPr>
        <w:t xml:space="preserve">, </w:t>
      </w:r>
      <w:r>
        <w:rPr>
          <w:rFonts w:ascii="Arial" w:hAnsi="Arial"/>
          <w:sz w:val="22"/>
        </w:rPr>
        <w:t>l</w:t>
      </w:r>
      <w:r w:rsidR="002E2363">
        <w:rPr>
          <w:rFonts w:ascii="Arial" w:hAnsi="Arial"/>
          <w:sz w:val="22"/>
        </w:rPr>
        <w:t>’</w:t>
      </w:r>
      <w:r w:rsidR="001F4BE4">
        <w:rPr>
          <w:rFonts w:ascii="Arial" w:hAnsi="Arial"/>
          <w:sz w:val="22"/>
        </w:rPr>
        <w:t>Allemagne et l</w:t>
      </w:r>
      <w:r w:rsidR="002E2363">
        <w:rPr>
          <w:rFonts w:ascii="Arial" w:hAnsi="Arial"/>
          <w:sz w:val="22"/>
        </w:rPr>
        <w:t>’</w:t>
      </w:r>
      <w:r w:rsidR="00A973F9">
        <w:rPr>
          <w:rFonts w:ascii="Arial" w:hAnsi="Arial"/>
          <w:sz w:val="22"/>
        </w:rPr>
        <w:t xml:space="preserve">Union Européenne </w:t>
      </w:r>
      <w:r w:rsidR="001F4BE4">
        <w:rPr>
          <w:rFonts w:ascii="Arial" w:hAnsi="Arial"/>
          <w:sz w:val="22"/>
        </w:rPr>
        <w:t xml:space="preserve">afin de </w:t>
      </w:r>
      <w:r w:rsidR="00E9721E">
        <w:rPr>
          <w:rFonts w:ascii="Arial" w:hAnsi="Arial"/>
          <w:sz w:val="22"/>
        </w:rPr>
        <w:t>créer</w:t>
      </w:r>
      <w:r w:rsidR="001F4BE4">
        <w:rPr>
          <w:rFonts w:ascii="Arial" w:hAnsi="Arial"/>
          <w:sz w:val="22"/>
        </w:rPr>
        <w:t xml:space="preserve"> un champion européen des batteries pour véhicules électriques.</w:t>
      </w:r>
      <w:r w:rsidR="00DD7DEC">
        <w:rPr>
          <w:rFonts w:ascii="Arial" w:hAnsi="Arial"/>
          <w:sz w:val="22"/>
        </w:rPr>
        <w:t xml:space="preserve"> </w:t>
      </w:r>
      <w:r w:rsidR="0022564E">
        <w:rPr>
          <w:rFonts w:ascii="Arial" w:hAnsi="Arial" w:cs="Arial"/>
          <w:sz w:val="22"/>
          <w:szCs w:val="22"/>
        </w:rPr>
        <w:t>L</w:t>
      </w:r>
      <w:r w:rsidR="002E2363">
        <w:rPr>
          <w:rFonts w:ascii="Arial" w:hAnsi="Arial" w:cs="Arial"/>
          <w:sz w:val="22"/>
          <w:szCs w:val="22"/>
        </w:rPr>
        <w:t>’</w:t>
      </w:r>
      <w:r w:rsidR="0022564E">
        <w:rPr>
          <w:rFonts w:ascii="Arial" w:hAnsi="Arial" w:cs="Arial"/>
          <w:sz w:val="22"/>
          <w:szCs w:val="22"/>
        </w:rPr>
        <w:t xml:space="preserve">arrivée </w:t>
      </w:r>
      <w:r w:rsidR="00A015E6">
        <w:rPr>
          <w:rFonts w:ascii="Arial" w:hAnsi="Arial" w:cs="Arial"/>
          <w:sz w:val="22"/>
          <w:szCs w:val="22"/>
        </w:rPr>
        <w:t>de Mercedes-Benz au sein d</w:t>
      </w:r>
      <w:r w:rsidR="002E2363">
        <w:rPr>
          <w:rFonts w:ascii="Arial" w:hAnsi="Arial" w:cs="Arial"/>
          <w:sz w:val="22"/>
          <w:szCs w:val="22"/>
        </w:rPr>
        <w:t>’</w:t>
      </w:r>
      <w:r w:rsidR="0022564E" w:rsidRPr="0022564E">
        <w:rPr>
          <w:rFonts w:ascii="Arial" w:hAnsi="Arial" w:cs="Arial"/>
          <w:sz w:val="22"/>
          <w:szCs w:val="22"/>
        </w:rPr>
        <w:t>ACC démontre le bien-fondé de cette initiative et les avancées réalisées depuis un an, qui seront ainsi renforcés.</w:t>
      </w:r>
    </w:p>
    <w:p w14:paraId="6B74E5FE" w14:textId="553F0A66" w:rsidR="00764C64" w:rsidRDefault="00764C64" w:rsidP="008E752E">
      <w:pPr>
        <w:rPr>
          <w:rFonts w:ascii="Arial" w:hAnsi="Arial" w:cs="Arial"/>
          <w:sz w:val="22"/>
          <w:szCs w:val="22"/>
        </w:rPr>
      </w:pPr>
    </w:p>
    <w:p w14:paraId="3E20AF56" w14:textId="28FFF996" w:rsidR="00E271E7" w:rsidRDefault="001C5533" w:rsidP="008E752E">
      <w:pPr>
        <w:rPr>
          <w:rFonts w:ascii="Arial" w:hAnsi="Arial" w:cs="Arial"/>
          <w:sz w:val="22"/>
          <w:szCs w:val="22"/>
        </w:rPr>
      </w:pPr>
      <w:r w:rsidRPr="001C5533">
        <w:rPr>
          <w:rFonts w:ascii="Arial" w:hAnsi="Arial" w:cs="Arial"/>
          <w:sz w:val="22"/>
          <w:szCs w:val="22"/>
        </w:rPr>
        <w:t>L</w:t>
      </w:r>
      <w:r w:rsidR="002E2363">
        <w:rPr>
          <w:rFonts w:ascii="Arial" w:hAnsi="Arial" w:cs="Arial"/>
          <w:sz w:val="22"/>
          <w:szCs w:val="22"/>
        </w:rPr>
        <w:t>’</w:t>
      </w:r>
      <w:r w:rsidRPr="001C5533">
        <w:rPr>
          <w:rFonts w:ascii="Arial" w:hAnsi="Arial" w:cs="Arial"/>
          <w:sz w:val="22"/>
          <w:szCs w:val="22"/>
        </w:rPr>
        <w:t>objectif d</w:t>
      </w:r>
      <w:r w:rsidR="002E2363">
        <w:rPr>
          <w:rFonts w:ascii="Arial" w:hAnsi="Arial" w:cs="Arial"/>
          <w:sz w:val="22"/>
          <w:szCs w:val="22"/>
        </w:rPr>
        <w:t>’</w:t>
      </w:r>
      <w:r w:rsidRPr="001C5533">
        <w:rPr>
          <w:rFonts w:ascii="Arial" w:hAnsi="Arial" w:cs="Arial"/>
          <w:sz w:val="22"/>
          <w:szCs w:val="22"/>
        </w:rPr>
        <w:t>ACC est de développer et produire des cellules et des modules de batteries pour véhicules électriques en mettant l</w:t>
      </w:r>
      <w:r w:rsidR="002E2363">
        <w:rPr>
          <w:rFonts w:ascii="Arial" w:hAnsi="Arial" w:cs="Arial"/>
          <w:sz w:val="22"/>
          <w:szCs w:val="22"/>
        </w:rPr>
        <w:t>’</w:t>
      </w:r>
      <w:r w:rsidRPr="001C5533">
        <w:rPr>
          <w:rFonts w:ascii="Arial" w:hAnsi="Arial" w:cs="Arial"/>
          <w:sz w:val="22"/>
          <w:szCs w:val="22"/>
        </w:rPr>
        <w:t>accent sur la sécurité, les performances et la compétitivité, tout en garantissant le plus haut niveau de qualité et la plus faible empreinte carbone</w:t>
      </w:r>
      <w:r w:rsidR="005C412B">
        <w:rPr>
          <w:rFonts w:ascii="Arial" w:hAnsi="Arial" w:cs="Arial"/>
          <w:sz w:val="22"/>
          <w:szCs w:val="22"/>
        </w:rPr>
        <w:t xml:space="preserve">. </w:t>
      </w:r>
      <w:r w:rsidR="00E271E7">
        <w:rPr>
          <w:rFonts w:ascii="Arial" w:hAnsi="Arial" w:cs="Arial"/>
          <w:sz w:val="22"/>
          <w:szCs w:val="22"/>
        </w:rPr>
        <w:br/>
      </w:r>
      <w:r w:rsidR="005C412B">
        <w:rPr>
          <w:rFonts w:ascii="Arial" w:hAnsi="Arial" w:cs="Arial"/>
          <w:sz w:val="22"/>
          <w:szCs w:val="22"/>
        </w:rPr>
        <w:t>Le nouvel objectif</w:t>
      </w:r>
      <w:r w:rsidRPr="001C5533">
        <w:rPr>
          <w:rFonts w:ascii="Arial" w:hAnsi="Arial" w:cs="Arial"/>
          <w:sz w:val="22"/>
          <w:szCs w:val="22"/>
        </w:rPr>
        <w:t xml:space="preserve"> de capacité d</w:t>
      </w:r>
      <w:r w:rsidR="002E2363">
        <w:rPr>
          <w:rFonts w:ascii="Arial" w:hAnsi="Arial" w:cs="Arial"/>
          <w:sz w:val="22"/>
          <w:szCs w:val="22"/>
        </w:rPr>
        <w:t>’</w:t>
      </w:r>
      <w:r w:rsidRPr="001C5533">
        <w:rPr>
          <w:rFonts w:ascii="Arial" w:hAnsi="Arial" w:cs="Arial"/>
          <w:sz w:val="22"/>
          <w:szCs w:val="22"/>
        </w:rPr>
        <w:t xml:space="preserve">ACC mobilisera un investissement de plus de </w:t>
      </w:r>
      <w:r w:rsidR="007F5C68">
        <w:rPr>
          <w:rFonts w:ascii="Arial" w:hAnsi="Arial" w:cs="Arial"/>
          <w:sz w:val="22"/>
          <w:szCs w:val="22"/>
        </w:rPr>
        <w:t>7</w:t>
      </w:r>
      <w:r w:rsidRPr="001C5533">
        <w:rPr>
          <w:rFonts w:ascii="Arial" w:hAnsi="Arial" w:cs="Arial"/>
          <w:sz w:val="22"/>
          <w:szCs w:val="22"/>
        </w:rPr>
        <w:t xml:space="preserve"> milliards d</w:t>
      </w:r>
      <w:r w:rsidR="002E2363">
        <w:rPr>
          <w:rFonts w:ascii="Arial" w:hAnsi="Arial" w:cs="Arial"/>
          <w:sz w:val="22"/>
          <w:szCs w:val="22"/>
        </w:rPr>
        <w:t>’</w:t>
      </w:r>
      <w:r w:rsidRPr="001C5533">
        <w:rPr>
          <w:rFonts w:ascii="Arial" w:hAnsi="Arial" w:cs="Arial"/>
          <w:sz w:val="22"/>
          <w:szCs w:val="22"/>
        </w:rPr>
        <w:t xml:space="preserve">euros qui sera soutenu par des subventions </w:t>
      </w:r>
      <w:r w:rsidR="000069E9">
        <w:rPr>
          <w:rFonts w:ascii="Arial" w:hAnsi="Arial" w:cs="Arial"/>
          <w:sz w:val="22"/>
          <w:szCs w:val="22"/>
        </w:rPr>
        <w:t xml:space="preserve">publiques </w:t>
      </w:r>
      <w:r w:rsidRPr="001C5533">
        <w:rPr>
          <w:rFonts w:ascii="Arial" w:hAnsi="Arial" w:cs="Arial"/>
          <w:sz w:val="22"/>
          <w:szCs w:val="22"/>
        </w:rPr>
        <w:t xml:space="preserve">et financé par des </w:t>
      </w:r>
      <w:r w:rsidR="00620B1D">
        <w:rPr>
          <w:rFonts w:ascii="Arial" w:hAnsi="Arial" w:cs="Arial"/>
          <w:sz w:val="22"/>
          <w:szCs w:val="22"/>
        </w:rPr>
        <w:t xml:space="preserve">apports en </w:t>
      </w:r>
      <w:r w:rsidRPr="001C5533">
        <w:rPr>
          <w:rFonts w:ascii="Arial" w:hAnsi="Arial" w:cs="Arial"/>
          <w:sz w:val="22"/>
          <w:szCs w:val="22"/>
        </w:rPr>
        <w:t xml:space="preserve">fonds propres et des emprunts. </w:t>
      </w:r>
    </w:p>
    <w:p w14:paraId="75EA4FF4" w14:textId="77777777" w:rsidR="00E271E7" w:rsidRDefault="00E271E7" w:rsidP="008E752E">
      <w:pPr>
        <w:rPr>
          <w:rFonts w:ascii="Arial" w:hAnsi="Arial" w:cs="Arial"/>
          <w:sz w:val="22"/>
          <w:szCs w:val="22"/>
        </w:rPr>
      </w:pPr>
    </w:p>
    <w:p w14:paraId="6E7ECF9B" w14:textId="713DBC31" w:rsidR="001C5533" w:rsidRPr="001C5533" w:rsidRDefault="001C5533" w:rsidP="008E752E">
      <w:pPr>
        <w:rPr>
          <w:rFonts w:ascii="Arial" w:hAnsi="Arial" w:cs="Arial"/>
          <w:sz w:val="22"/>
          <w:szCs w:val="22"/>
        </w:rPr>
      </w:pPr>
      <w:r w:rsidRPr="001C5533">
        <w:rPr>
          <w:rFonts w:ascii="Arial" w:hAnsi="Arial" w:cs="Arial"/>
          <w:sz w:val="22"/>
          <w:szCs w:val="22"/>
        </w:rPr>
        <w:t>La création de ce champion européen des batteries aidera l</w:t>
      </w:r>
      <w:r w:rsidR="002E2363">
        <w:rPr>
          <w:rFonts w:ascii="Arial" w:hAnsi="Arial" w:cs="Arial"/>
          <w:sz w:val="22"/>
          <w:szCs w:val="22"/>
        </w:rPr>
        <w:t>’</w:t>
      </w:r>
      <w:r w:rsidRPr="001C5533">
        <w:rPr>
          <w:rFonts w:ascii="Arial" w:hAnsi="Arial" w:cs="Arial"/>
          <w:sz w:val="22"/>
          <w:szCs w:val="22"/>
        </w:rPr>
        <w:t>Europe à relever les défis de la transition éner</w:t>
      </w:r>
      <w:r w:rsidR="00991520">
        <w:rPr>
          <w:rFonts w:ascii="Arial" w:hAnsi="Arial" w:cs="Arial"/>
          <w:sz w:val="22"/>
          <w:szCs w:val="22"/>
        </w:rPr>
        <w:t xml:space="preserve">gétique en matière de mobilité et </w:t>
      </w:r>
      <w:r w:rsidR="00505088">
        <w:rPr>
          <w:rFonts w:ascii="Arial" w:hAnsi="Arial" w:cs="Arial"/>
          <w:sz w:val="22"/>
          <w:szCs w:val="22"/>
        </w:rPr>
        <w:t>assurera</w:t>
      </w:r>
      <w:r w:rsidRPr="001C5533">
        <w:rPr>
          <w:rFonts w:ascii="Arial" w:hAnsi="Arial" w:cs="Arial"/>
          <w:sz w:val="22"/>
          <w:szCs w:val="22"/>
        </w:rPr>
        <w:t xml:space="preserve"> </w:t>
      </w:r>
      <w:r w:rsidR="00FE002A">
        <w:rPr>
          <w:rFonts w:ascii="Arial" w:hAnsi="Arial" w:cs="Arial"/>
          <w:sz w:val="22"/>
          <w:szCs w:val="22"/>
        </w:rPr>
        <w:t>l</w:t>
      </w:r>
      <w:r w:rsidRPr="001C5533">
        <w:rPr>
          <w:rFonts w:ascii="Arial" w:hAnsi="Arial" w:cs="Arial"/>
          <w:sz w:val="22"/>
          <w:szCs w:val="22"/>
        </w:rPr>
        <w:t>a sécurité d</w:t>
      </w:r>
      <w:r w:rsidR="002E2363">
        <w:rPr>
          <w:rFonts w:ascii="Arial" w:hAnsi="Arial" w:cs="Arial"/>
          <w:sz w:val="22"/>
          <w:szCs w:val="22"/>
        </w:rPr>
        <w:t>’</w:t>
      </w:r>
      <w:r w:rsidRPr="001C5533">
        <w:rPr>
          <w:rFonts w:ascii="Arial" w:hAnsi="Arial" w:cs="Arial"/>
          <w:sz w:val="22"/>
          <w:szCs w:val="22"/>
        </w:rPr>
        <w:t xml:space="preserve">approvisionnement </w:t>
      </w:r>
      <w:r w:rsidR="00FE002A">
        <w:rPr>
          <w:rFonts w:ascii="Arial" w:hAnsi="Arial" w:cs="Arial"/>
          <w:sz w:val="22"/>
          <w:szCs w:val="22"/>
        </w:rPr>
        <w:t>d</w:t>
      </w:r>
      <w:r w:rsidR="002E2363">
        <w:rPr>
          <w:rFonts w:ascii="Arial" w:hAnsi="Arial" w:cs="Arial"/>
          <w:sz w:val="22"/>
          <w:szCs w:val="22"/>
        </w:rPr>
        <w:t>’</w:t>
      </w:r>
      <w:r w:rsidR="00FE002A">
        <w:rPr>
          <w:rFonts w:ascii="Arial" w:hAnsi="Arial" w:cs="Arial"/>
          <w:sz w:val="22"/>
          <w:szCs w:val="22"/>
        </w:rPr>
        <w:t xml:space="preserve">un </w:t>
      </w:r>
      <w:r w:rsidRPr="001C5533">
        <w:rPr>
          <w:rFonts w:ascii="Arial" w:hAnsi="Arial" w:cs="Arial"/>
          <w:sz w:val="22"/>
          <w:szCs w:val="22"/>
        </w:rPr>
        <w:t>composant clé pour l</w:t>
      </w:r>
      <w:r w:rsidR="002E2363">
        <w:rPr>
          <w:rFonts w:ascii="Arial" w:hAnsi="Arial" w:cs="Arial"/>
          <w:sz w:val="22"/>
          <w:szCs w:val="22"/>
        </w:rPr>
        <w:t>’</w:t>
      </w:r>
      <w:r w:rsidRPr="001C5533">
        <w:rPr>
          <w:rFonts w:ascii="Arial" w:hAnsi="Arial" w:cs="Arial"/>
          <w:sz w:val="22"/>
          <w:szCs w:val="22"/>
        </w:rPr>
        <w:t>industrie automobile</w:t>
      </w:r>
      <w:r w:rsidR="006757EC">
        <w:rPr>
          <w:rFonts w:ascii="Arial" w:hAnsi="Arial" w:cs="Arial"/>
          <w:sz w:val="22"/>
          <w:szCs w:val="22"/>
        </w:rPr>
        <w:t xml:space="preserve">. </w:t>
      </w:r>
    </w:p>
    <w:p w14:paraId="27EA5C1E" w14:textId="77777777" w:rsidR="001C5533" w:rsidRPr="001C5533" w:rsidRDefault="001C5533" w:rsidP="008E752E">
      <w:pPr>
        <w:rPr>
          <w:rFonts w:ascii="Arial" w:hAnsi="Arial" w:cs="Arial"/>
          <w:sz w:val="22"/>
          <w:szCs w:val="22"/>
        </w:rPr>
      </w:pPr>
    </w:p>
    <w:p w14:paraId="5B10CCA9" w14:textId="4F52CBC2" w:rsidR="00AB55C8" w:rsidRPr="00BB653C" w:rsidRDefault="00B506DE" w:rsidP="00A941B0">
      <w:pPr>
        <w:rPr>
          <w:rFonts w:ascii="Arial" w:hAnsi="Arial" w:cs="Arial"/>
          <w:sz w:val="22"/>
          <w:szCs w:val="22"/>
        </w:rPr>
      </w:pPr>
      <w:r>
        <w:rPr>
          <w:rFonts w:ascii="Arial" w:hAnsi="Arial"/>
          <w:sz w:val="22"/>
        </w:rPr>
        <w:t>ACC</w:t>
      </w:r>
      <w:r w:rsidR="00E759B8">
        <w:rPr>
          <w:rFonts w:ascii="Arial" w:hAnsi="Arial"/>
          <w:sz w:val="22"/>
        </w:rPr>
        <w:t xml:space="preserve"> </w:t>
      </w:r>
      <w:r w:rsidR="00BE156B">
        <w:rPr>
          <w:rFonts w:ascii="Arial" w:hAnsi="Arial"/>
          <w:sz w:val="22"/>
        </w:rPr>
        <w:t>sera ainsi</w:t>
      </w:r>
      <w:r w:rsidR="00E759B8">
        <w:rPr>
          <w:rFonts w:ascii="Arial" w:hAnsi="Arial"/>
          <w:sz w:val="22"/>
        </w:rPr>
        <w:t xml:space="preserve"> soutenu par </w:t>
      </w:r>
      <w:r w:rsidR="00872B96">
        <w:rPr>
          <w:rFonts w:ascii="Arial" w:hAnsi="Arial"/>
          <w:sz w:val="22"/>
        </w:rPr>
        <w:t>trois partenaires de choix</w:t>
      </w:r>
      <w:r w:rsidR="00686C83">
        <w:rPr>
          <w:rFonts w:ascii="Arial" w:hAnsi="Arial"/>
          <w:sz w:val="22"/>
        </w:rPr>
        <w:t>,</w:t>
      </w:r>
      <w:r w:rsidR="00E759B8">
        <w:rPr>
          <w:rFonts w:ascii="Arial" w:hAnsi="Arial"/>
          <w:sz w:val="22"/>
        </w:rPr>
        <w:t xml:space="preserve"> </w:t>
      </w:r>
      <w:r w:rsidR="00BC2474">
        <w:rPr>
          <w:rFonts w:ascii="Arial" w:hAnsi="Arial"/>
          <w:sz w:val="22"/>
        </w:rPr>
        <w:t>associant</w:t>
      </w:r>
      <w:r w:rsidR="00E27976">
        <w:rPr>
          <w:rFonts w:ascii="Arial" w:hAnsi="Arial"/>
          <w:sz w:val="22"/>
        </w:rPr>
        <w:t xml:space="preserve"> </w:t>
      </w:r>
      <w:r w:rsidR="00E759B8">
        <w:rPr>
          <w:rFonts w:ascii="Arial" w:hAnsi="Arial"/>
          <w:sz w:val="22"/>
        </w:rPr>
        <w:t>:</w:t>
      </w:r>
    </w:p>
    <w:p w14:paraId="35A5A2C2" w14:textId="384F85E7" w:rsidR="00721299" w:rsidRPr="00721299" w:rsidRDefault="00721299" w:rsidP="005C412B">
      <w:pPr>
        <w:pStyle w:val="Paragraphedeliste"/>
        <w:numPr>
          <w:ilvl w:val="0"/>
          <w:numId w:val="7"/>
        </w:numPr>
        <w:jc w:val="both"/>
        <w:rPr>
          <w:rFonts w:ascii="Arial" w:hAnsi="Arial"/>
        </w:rPr>
      </w:pPr>
      <w:r w:rsidRPr="00721299">
        <w:rPr>
          <w:rFonts w:ascii="Arial" w:hAnsi="Arial"/>
        </w:rPr>
        <w:t xml:space="preserve">Une expertise technologique approfondie dans le développement de batteries avec </w:t>
      </w:r>
      <w:r w:rsidRPr="00F6729D">
        <w:rPr>
          <w:rFonts w:ascii="Arial" w:hAnsi="Arial"/>
          <w:b/>
          <w:bCs/>
        </w:rPr>
        <w:t>Saft, filiale de TotalEnergies</w:t>
      </w:r>
      <w:r w:rsidRPr="00B33B21">
        <w:rPr>
          <w:rFonts w:ascii="Arial" w:hAnsi="Arial"/>
        </w:rPr>
        <w:t>, qui</w:t>
      </w:r>
      <w:r w:rsidRPr="00721299">
        <w:rPr>
          <w:rFonts w:ascii="Arial" w:hAnsi="Arial"/>
        </w:rPr>
        <w:t xml:space="preserve"> a plus de 100 ans d</w:t>
      </w:r>
      <w:r w:rsidR="002E2363">
        <w:rPr>
          <w:rFonts w:ascii="Arial" w:hAnsi="Arial"/>
        </w:rPr>
        <w:t>’</w:t>
      </w:r>
      <w:r w:rsidRPr="00721299">
        <w:rPr>
          <w:rFonts w:ascii="Arial" w:hAnsi="Arial"/>
        </w:rPr>
        <w:t>expérience dans le domaine des batteries et des systèmes de batteries à longue durée de vie.</w:t>
      </w:r>
    </w:p>
    <w:p w14:paraId="564C2191" w14:textId="2DC6AB3F" w:rsidR="005C412B" w:rsidRPr="005C412B" w:rsidRDefault="005C412B" w:rsidP="005C412B">
      <w:pPr>
        <w:pStyle w:val="Paragraphedeliste"/>
        <w:numPr>
          <w:ilvl w:val="0"/>
          <w:numId w:val="7"/>
        </w:numPr>
        <w:jc w:val="both"/>
        <w:rPr>
          <w:rFonts w:ascii="Arial" w:hAnsi="Arial"/>
        </w:rPr>
      </w:pPr>
      <w:r w:rsidRPr="005C412B">
        <w:rPr>
          <w:rFonts w:ascii="Arial" w:hAnsi="Arial"/>
        </w:rPr>
        <w:t>Un acteur majeur de l</w:t>
      </w:r>
      <w:r w:rsidR="002E2363">
        <w:rPr>
          <w:rFonts w:ascii="Arial" w:hAnsi="Arial"/>
        </w:rPr>
        <w:t>’</w:t>
      </w:r>
      <w:r w:rsidRPr="005C412B">
        <w:rPr>
          <w:rFonts w:ascii="Arial" w:hAnsi="Arial"/>
        </w:rPr>
        <w:t xml:space="preserve">industrie automobile, </w:t>
      </w:r>
      <w:r w:rsidRPr="00CB603F">
        <w:rPr>
          <w:rFonts w:ascii="Arial" w:hAnsi="Arial"/>
          <w:b/>
          <w:bCs/>
        </w:rPr>
        <w:t>Stellantis</w:t>
      </w:r>
      <w:r>
        <w:rPr>
          <w:rFonts w:ascii="Arial" w:hAnsi="Arial"/>
        </w:rPr>
        <w:t xml:space="preserve">, </w:t>
      </w:r>
      <w:r w:rsidRPr="005C412B">
        <w:rPr>
          <w:rFonts w:ascii="Arial" w:hAnsi="Arial"/>
        </w:rPr>
        <w:t>dont la mission est de fournir une</w:t>
      </w:r>
      <w:r>
        <w:rPr>
          <w:rFonts w:ascii="Arial" w:hAnsi="Arial"/>
        </w:rPr>
        <w:t xml:space="preserve"> </w:t>
      </w:r>
      <w:r w:rsidRPr="005C412B">
        <w:rPr>
          <w:rFonts w:ascii="Arial" w:hAnsi="Arial"/>
        </w:rPr>
        <w:t>technologie de pointe pour garantir la liberté de mouvement à tous grâce à des</w:t>
      </w:r>
      <w:r>
        <w:rPr>
          <w:rFonts w:ascii="Arial" w:hAnsi="Arial"/>
        </w:rPr>
        <w:t xml:space="preserve"> </w:t>
      </w:r>
      <w:r w:rsidRPr="005C412B">
        <w:rPr>
          <w:rFonts w:ascii="Arial" w:hAnsi="Arial"/>
        </w:rPr>
        <w:t>solutions de mobilité abordables, polyvalentes et durables</w:t>
      </w:r>
    </w:p>
    <w:p w14:paraId="739F5D38" w14:textId="3B6262D6" w:rsidR="000D0A14" w:rsidRPr="009A0249" w:rsidRDefault="00C24FED" w:rsidP="005C412B">
      <w:pPr>
        <w:pStyle w:val="Paragraphedeliste"/>
        <w:numPr>
          <w:ilvl w:val="0"/>
          <w:numId w:val="7"/>
        </w:numPr>
        <w:spacing w:after="0" w:line="240" w:lineRule="auto"/>
        <w:jc w:val="both"/>
        <w:rPr>
          <w:rFonts w:ascii="Arial" w:hAnsi="Arial" w:cs="Arial"/>
        </w:rPr>
      </w:pPr>
      <w:r>
        <w:rPr>
          <w:rFonts w:ascii="Arial" w:hAnsi="Arial"/>
        </w:rPr>
        <w:t>L</w:t>
      </w:r>
      <w:r w:rsidR="002E2363">
        <w:rPr>
          <w:rFonts w:ascii="Arial" w:hAnsi="Arial"/>
        </w:rPr>
        <w:t>’</w:t>
      </w:r>
      <w:r>
        <w:rPr>
          <w:rFonts w:ascii="Arial" w:hAnsi="Arial"/>
        </w:rPr>
        <w:t xml:space="preserve">expertise en recherche et développement de </w:t>
      </w:r>
      <w:r w:rsidRPr="00B01CEE">
        <w:rPr>
          <w:rFonts w:ascii="Arial" w:hAnsi="Arial"/>
          <w:b/>
          <w:bCs/>
        </w:rPr>
        <w:t>Mercedes-Benz</w:t>
      </w:r>
      <w:r>
        <w:rPr>
          <w:rFonts w:ascii="Arial" w:hAnsi="Arial"/>
        </w:rPr>
        <w:t xml:space="preserve">, </w:t>
      </w:r>
      <w:r w:rsidR="00BC7763">
        <w:rPr>
          <w:rFonts w:ascii="Arial" w:hAnsi="Arial"/>
        </w:rPr>
        <w:t>son soutien à la croissance d</w:t>
      </w:r>
      <w:r w:rsidR="002E2363">
        <w:rPr>
          <w:rFonts w:ascii="Arial" w:hAnsi="Arial"/>
        </w:rPr>
        <w:t>’</w:t>
      </w:r>
      <w:r w:rsidR="00DF1D03">
        <w:rPr>
          <w:rFonts w:ascii="Arial" w:hAnsi="Arial"/>
        </w:rPr>
        <w:t>ACC, et</w:t>
      </w:r>
      <w:r w:rsidR="00BC7763">
        <w:rPr>
          <w:rFonts w:ascii="Arial" w:hAnsi="Arial"/>
        </w:rPr>
        <w:t xml:space="preserve"> </w:t>
      </w:r>
      <w:r>
        <w:rPr>
          <w:rFonts w:ascii="Arial" w:hAnsi="Arial"/>
        </w:rPr>
        <w:t xml:space="preserve">les normes </w:t>
      </w:r>
      <w:r w:rsidR="00BC7763">
        <w:rPr>
          <w:rFonts w:ascii="Arial" w:hAnsi="Arial"/>
        </w:rPr>
        <w:t xml:space="preserve">et standards </w:t>
      </w:r>
      <w:r>
        <w:rPr>
          <w:rFonts w:ascii="Arial" w:hAnsi="Arial"/>
        </w:rPr>
        <w:t xml:space="preserve">de qualité de référence </w:t>
      </w:r>
      <w:r w:rsidR="00BC7763">
        <w:rPr>
          <w:rFonts w:ascii="Arial" w:hAnsi="Arial"/>
        </w:rPr>
        <w:t>attaché</w:t>
      </w:r>
      <w:r w:rsidR="00DF1D03">
        <w:rPr>
          <w:rFonts w:ascii="Arial" w:hAnsi="Arial"/>
        </w:rPr>
        <w:t>s</w:t>
      </w:r>
      <w:r w:rsidR="00BC7763">
        <w:rPr>
          <w:rFonts w:ascii="Arial" w:hAnsi="Arial"/>
        </w:rPr>
        <w:t xml:space="preserve"> à </w:t>
      </w:r>
      <w:r>
        <w:rPr>
          <w:rFonts w:ascii="Arial" w:hAnsi="Arial"/>
        </w:rPr>
        <w:t>sa marque</w:t>
      </w:r>
      <w:r w:rsidR="00121C57">
        <w:rPr>
          <w:rFonts w:ascii="Arial" w:hAnsi="Arial"/>
        </w:rPr>
        <w:t>.</w:t>
      </w:r>
    </w:p>
    <w:p w14:paraId="3EDA0FE5" w14:textId="77777777" w:rsidR="009A0249" w:rsidRPr="00121C57" w:rsidRDefault="009A0249" w:rsidP="009A0249">
      <w:pPr>
        <w:pStyle w:val="Paragraphedeliste"/>
        <w:spacing w:after="0" w:line="240" w:lineRule="auto"/>
        <w:jc w:val="both"/>
        <w:rPr>
          <w:rFonts w:ascii="Arial" w:hAnsi="Arial" w:cs="Arial"/>
        </w:rPr>
      </w:pPr>
    </w:p>
    <w:p w14:paraId="34A86CA9" w14:textId="63542A46" w:rsidR="00152114" w:rsidRPr="00152114" w:rsidRDefault="00152114" w:rsidP="000A0377">
      <w:pPr>
        <w:rPr>
          <w:rFonts w:ascii="Arial" w:hAnsi="Arial" w:cs="Arial"/>
          <w:color w:val="222222"/>
          <w:sz w:val="22"/>
          <w:szCs w:val="22"/>
          <w:shd w:val="clear" w:color="auto" w:fill="FFFFFF"/>
        </w:rPr>
      </w:pPr>
      <w:r w:rsidRPr="00152114">
        <w:rPr>
          <w:rFonts w:ascii="Arial" w:hAnsi="Arial"/>
          <w:i/>
          <w:sz w:val="22"/>
          <w:szCs w:val="22"/>
        </w:rPr>
        <w:lastRenderedPageBreak/>
        <w:t>« </w:t>
      </w:r>
      <w:r w:rsidRPr="00152114">
        <w:rPr>
          <w:rFonts w:ascii="Arial" w:hAnsi="Arial" w:cs="Arial"/>
          <w:i/>
          <w:color w:val="222222"/>
          <w:sz w:val="22"/>
          <w:szCs w:val="22"/>
          <w:shd w:val="clear" w:color="auto" w:fill="FFFFFF"/>
        </w:rPr>
        <w:t>L'arrivée de Mercedes-Benz en tant que nouvel actionnaire constitu</w:t>
      </w:r>
      <w:r w:rsidR="00DF1D03">
        <w:rPr>
          <w:rFonts w:ascii="Arial" w:hAnsi="Arial" w:cs="Arial"/>
          <w:i/>
          <w:color w:val="222222"/>
          <w:sz w:val="22"/>
          <w:szCs w:val="22"/>
          <w:shd w:val="clear" w:color="auto" w:fill="FFFFFF"/>
        </w:rPr>
        <w:t xml:space="preserve">e une étape importante pour ACC, » </w:t>
      </w:r>
      <w:r w:rsidR="00DF1D03" w:rsidRPr="00DF1D03">
        <w:rPr>
          <w:rFonts w:ascii="Arial" w:hAnsi="Arial" w:cs="Arial"/>
          <w:b/>
          <w:color w:val="222222"/>
          <w:sz w:val="22"/>
          <w:szCs w:val="22"/>
          <w:shd w:val="clear" w:color="auto" w:fill="FFFFFF"/>
        </w:rPr>
        <w:t xml:space="preserve">a déclaré </w:t>
      </w:r>
      <w:r w:rsidR="00DF1D03" w:rsidRPr="00152114">
        <w:rPr>
          <w:rFonts w:ascii="Arial" w:hAnsi="Arial" w:cs="Arial"/>
          <w:b/>
          <w:color w:val="222222"/>
          <w:sz w:val="22"/>
          <w:szCs w:val="22"/>
          <w:shd w:val="clear" w:color="auto" w:fill="FFFFFF"/>
        </w:rPr>
        <w:t>Yann Vincent, directeur général d'ACC</w:t>
      </w:r>
      <w:r w:rsidR="00FB5F67" w:rsidRPr="00FB5F67">
        <w:rPr>
          <w:rFonts w:ascii="Arial" w:hAnsi="Arial" w:cs="Arial"/>
          <w:color w:val="222222"/>
          <w:sz w:val="22"/>
          <w:szCs w:val="22"/>
          <w:shd w:val="clear" w:color="auto" w:fill="FFFFFF"/>
        </w:rPr>
        <w:t>.</w:t>
      </w:r>
      <w:r w:rsidR="00FB5F67">
        <w:rPr>
          <w:rFonts w:ascii="Arial" w:hAnsi="Arial" w:cs="Arial"/>
          <w:i/>
          <w:color w:val="222222"/>
          <w:sz w:val="22"/>
          <w:szCs w:val="22"/>
          <w:shd w:val="clear" w:color="auto" w:fill="FFFFFF"/>
        </w:rPr>
        <w:t xml:space="preserve"> </w:t>
      </w:r>
      <w:bookmarkStart w:id="1" w:name="_GoBack"/>
      <w:bookmarkEnd w:id="1"/>
      <w:r w:rsidR="00DF1D03">
        <w:rPr>
          <w:rFonts w:ascii="Arial" w:hAnsi="Arial" w:cs="Arial"/>
          <w:i/>
          <w:color w:val="222222"/>
          <w:sz w:val="22"/>
          <w:szCs w:val="22"/>
          <w:shd w:val="clear" w:color="auto" w:fill="FFFFFF"/>
        </w:rPr>
        <w:t>« </w:t>
      </w:r>
      <w:r w:rsidRPr="00152114">
        <w:rPr>
          <w:rFonts w:ascii="Arial" w:hAnsi="Arial" w:cs="Arial"/>
          <w:i/>
          <w:color w:val="222222"/>
          <w:sz w:val="22"/>
          <w:szCs w:val="22"/>
          <w:shd w:val="clear" w:color="auto" w:fill="FFFFFF"/>
        </w:rPr>
        <w:t xml:space="preserve">Il s’agit d’une grande marque de confiance exprimée par Mercedes-Benz dans notre feuille de route technologique et la compétitivité de nos produits. Cette arrivée va considérablement renforcer le potentiel commercial d'ACC et soutenir son ambitieux plan de croissance. Cela renforce notre contribution à un avenir électrique et durable. </w:t>
      </w:r>
      <w:r w:rsidRPr="00152114">
        <w:rPr>
          <w:rFonts w:ascii="Arial" w:hAnsi="Arial"/>
          <w:i/>
          <w:iCs/>
          <w:sz w:val="22"/>
          <w:szCs w:val="22"/>
        </w:rPr>
        <w:t>»</w:t>
      </w:r>
    </w:p>
    <w:p w14:paraId="6736B859" w14:textId="77777777" w:rsidR="00152114" w:rsidRDefault="00152114" w:rsidP="000A0377">
      <w:pPr>
        <w:rPr>
          <w:rFonts w:ascii="Arial" w:hAnsi="Arial"/>
          <w:sz w:val="22"/>
        </w:rPr>
      </w:pPr>
    </w:p>
    <w:p w14:paraId="314159B4" w14:textId="33EA0AAD" w:rsidR="000A0377" w:rsidRPr="000A0377" w:rsidRDefault="000A0377" w:rsidP="000A0377">
      <w:pPr>
        <w:rPr>
          <w:rFonts w:ascii="Arial" w:hAnsi="Arial"/>
          <w:sz w:val="22"/>
        </w:rPr>
      </w:pPr>
      <w:r w:rsidRPr="000A0377">
        <w:rPr>
          <w:rFonts w:ascii="Arial" w:hAnsi="Arial"/>
          <w:sz w:val="22"/>
        </w:rPr>
        <w:t>« </w:t>
      </w:r>
      <w:r w:rsidRPr="000A0377">
        <w:rPr>
          <w:rFonts w:ascii="Arial" w:hAnsi="Arial"/>
          <w:i/>
          <w:iCs/>
          <w:sz w:val="22"/>
        </w:rPr>
        <w:t>Mercedes-Benz mène un plan de transformation très ambitieux et cet investissement marque une étape stratégique dans notre cheminement vers la neutralité carbone.</w:t>
      </w:r>
      <w:r w:rsidRPr="000A0377">
        <w:rPr>
          <w:rFonts w:ascii="Arial" w:hAnsi="Arial"/>
          <w:sz w:val="22"/>
        </w:rPr>
        <w:t xml:space="preserve"> </w:t>
      </w:r>
      <w:r w:rsidRPr="000A0377">
        <w:rPr>
          <w:rFonts w:ascii="Arial" w:hAnsi="Arial"/>
          <w:i/>
          <w:iCs/>
          <w:sz w:val="22"/>
        </w:rPr>
        <w:t>Avec ACC, nous allons développer et produire efficacement en Europe des modules et des cellules de batterie parfaitement adaptés aux exigences de nos modèles, »</w:t>
      </w:r>
      <w:r w:rsidRPr="000A0377">
        <w:rPr>
          <w:rFonts w:ascii="Arial" w:hAnsi="Arial"/>
          <w:sz w:val="22"/>
        </w:rPr>
        <w:t xml:space="preserve"> </w:t>
      </w:r>
      <w:r w:rsidRPr="000A0377">
        <w:rPr>
          <w:rFonts w:ascii="Arial" w:hAnsi="Arial"/>
          <w:b/>
          <w:bCs/>
          <w:sz w:val="22"/>
        </w:rPr>
        <w:t>a déclaré Ola Källenius, président de Daimler AG et de Mercedes-Benz AG</w:t>
      </w:r>
      <w:r w:rsidRPr="000A0377">
        <w:rPr>
          <w:rFonts w:ascii="Arial" w:hAnsi="Arial"/>
          <w:sz w:val="22"/>
        </w:rPr>
        <w:t>. </w:t>
      </w:r>
      <w:r w:rsidRPr="000A0377">
        <w:rPr>
          <w:rFonts w:ascii="Arial" w:hAnsi="Arial"/>
          <w:i/>
          <w:iCs/>
          <w:sz w:val="22"/>
        </w:rPr>
        <w:t>« Ce nouveau partenariat nous permet de sécuriser notre approvisionnement, de tirer parti d</w:t>
      </w:r>
      <w:r w:rsidR="002E2363">
        <w:rPr>
          <w:rFonts w:ascii="Arial" w:hAnsi="Arial"/>
          <w:i/>
          <w:iCs/>
          <w:sz w:val="22"/>
        </w:rPr>
        <w:t>’</w:t>
      </w:r>
      <w:r w:rsidRPr="000A0377">
        <w:rPr>
          <w:rFonts w:ascii="Arial" w:hAnsi="Arial"/>
          <w:i/>
          <w:iCs/>
          <w:sz w:val="22"/>
        </w:rPr>
        <w:t>économies d</w:t>
      </w:r>
      <w:r w:rsidR="002E2363">
        <w:rPr>
          <w:rFonts w:ascii="Arial" w:hAnsi="Arial"/>
          <w:i/>
          <w:iCs/>
          <w:sz w:val="22"/>
        </w:rPr>
        <w:t>’</w:t>
      </w:r>
      <w:r w:rsidRPr="000A0377">
        <w:rPr>
          <w:rFonts w:ascii="Arial" w:hAnsi="Arial"/>
          <w:i/>
          <w:iCs/>
          <w:sz w:val="22"/>
        </w:rPr>
        <w:t>échelle et de fournir à nos clients une technologie de batterie supérieure. De plus, nous pouvons ainsi faire en sorte que l</w:t>
      </w:r>
      <w:r w:rsidR="002E2363">
        <w:rPr>
          <w:rFonts w:ascii="Arial" w:hAnsi="Arial"/>
          <w:i/>
          <w:iCs/>
          <w:sz w:val="22"/>
        </w:rPr>
        <w:t>’</w:t>
      </w:r>
      <w:r w:rsidRPr="000A0377">
        <w:rPr>
          <w:rFonts w:ascii="Arial" w:hAnsi="Arial"/>
          <w:i/>
          <w:iCs/>
          <w:sz w:val="22"/>
        </w:rPr>
        <w:t>Europe reste un haut lieu de l</w:t>
      </w:r>
      <w:r w:rsidR="002E2363">
        <w:rPr>
          <w:rFonts w:ascii="Arial" w:hAnsi="Arial"/>
          <w:i/>
          <w:iCs/>
          <w:sz w:val="22"/>
        </w:rPr>
        <w:t>’</w:t>
      </w:r>
      <w:r w:rsidRPr="000A0377">
        <w:rPr>
          <w:rFonts w:ascii="Arial" w:hAnsi="Arial"/>
          <w:i/>
          <w:iCs/>
          <w:sz w:val="22"/>
        </w:rPr>
        <w:t>industrie automobile, y compris à l</w:t>
      </w:r>
      <w:r w:rsidR="002E2363">
        <w:rPr>
          <w:rFonts w:ascii="Arial" w:hAnsi="Arial"/>
          <w:i/>
          <w:iCs/>
          <w:sz w:val="22"/>
        </w:rPr>
        <w:t>’</w:t>
      </w:r>
      <w:r w:rsidRPr="000A0377">
        <w:rPr>
          <w:rFonts w:ascii="Arial" w:hAnsi="Arial"/>
          <w:i/>
          <w:iCs/>
          <w:sz w:val="22"/>
        </w:rPr>
        <w:t>ère de la mobilité électrique. Avec Mercedes-Benz comme nouveau partenaire, ACC vise à plus que doubler la capacité de ses sites européens afin de soutenir la compétitivité industrielle de l</w:t>
      </w:r>
      <w:r w:rsidR="002E2363">
        <w:rPr>
          <w:rFonts w:ascii="Arial" w:hAnsi="Arial"/>
          <w:i/>
          <w:iCs/>
          <w:sz w:val="22"/>
        </w:rPr>
        <w:t>’</w:t>
      </w:r>
      <w:r w:rsidRPr="000A0377">
        <w:rPr>
          <w:rFonts w:ascii="Arial" w:hAnsi="Arial"/>
          <w:i/>
          <w:iCs/>
          <w:sz w:val="22"/>
        </w:rPr>
        <w:t>Europe dans la conception et la fabrication de cellules de batteries. »</w:t>
      </w:r>
    </w:p>
    <w:p w14:paraId="554CA987" w14:textId="77777777" w:rsidR="000D0A14" w:rsidRPr="00DF13BF" w:rsidRDefault="000D0A14" w:rsidP="008E752E">
      <w:pPr>
        <w:rPr>
          <w:rFonts w:ascii="Arial" w:hAnsi="Arial" w:cs="Arial"/>
          <w:sz w:val="22"/>
          <w:szCs w:val="22"/>
          <w:highlight w:val="yellow"/>
        </w:rPr>
      </w:pPr>
    </w:p>
    <w:p w14:paraId="413CBDB4" w14:textId="3EE9ED88" w:rsidR="000A0377" w:rsidRPr="000A0377" w:rsidRDefault="000A0377" w:rsidP="18999BC5">
      <w:pPr>
        <w:rPr>
          <w:rFonts w:ascii="Arial" w:hAnsi="Arial"/>
          <w:color w:val="000000" w:themeColor="text1"/>
          <w:sz w:val="22"/>
          <w:szCs w:val="22"/>
        </w:rPr>
      </w:pPr>
      <w:r w:rsidRPr="5D9B93B7">
        <w:rPr>
          <w:rFonts w:ascii="Arial" w:hAnsi="Arial"/>
          <w:color w:val="000000" w:themeColor="text1"/>
          <w:sz w:val="22"/>
          <w:szCs w:val="22"/>
        </w:rPr>
        <w:t>« </w:t>
      </w:r>
      <w:r w:rsidRPr="5D9B93B7">
        <w:rPr>
          <w:rFonts w:ascii="Arial" w:hAnsi="Arial"/>
          <w:i/>
          <w:iCs/>
          <w:color w:val="000000" w:themeColor="text1"/>
          <w:sz w:val="22"/>
          <w:szCs w:val="22"/>
        </w:rPr>
        <w:t xml:space="preserve">Nous souhaitons la bienvenue à Mercedes-Benz, partenaire stratégique, qui partage notre </w:t>
      </w:r>
      <w:proofErr w:type="gramStart"/>
      <w:r w:rsidRPr="5D9B93B7">
        <w:rPr>
          <w:rFonts w:ascii="Arial" w:hAnsi="Arial"/>
          <w:i/>
          <w:iCs/>
          <w:color w:val="000000" w:themeColor="text1"/>
          <w:sz w:val="22"/>
          <w:szCs w:val="22"/>
        </w:rPr>
        <w:t>volonté</w:t>
      </w:r>
      <w:proofErr w:type="gramEnd"/>
      <w:r w:rsidRPr="5D9B93B7">
        <w:rPr>
          <w:rFonts w:ascii="Arial" w:hAnsi="Arial"/>
          <w:i/>
          <w:iCs/>
          <w:color w:val="000000" w:themeColor="text1"/>
          <w:sz w:val="22"/>
          <w:szCs w:val="22"/>
        </w:rPr>
        <w:t xml:space="preserve"> de renfor</w:t>
      </w:r>
      <w:r w:rsidR="00686C83">
        <w:rPr>
          <w:rFonts w:ascii="Arial" w:hAnsi="Arial"/>
          <w:i/>
          <w:iCs/>
          <w:color w:val="000000" w:themeColor="text1"/>
          <w:sz w:val="22"/>
          <w:szCs w:val="22"/>
        </w:rPr>
        <w:t>cer et développer</w:t>
      </w:r>
      <w:r w:rsidRPr="5D9B93B7">
        <w:rPr>
          <w:rFonts w:ascii="Arial" w:hAnsi="Arial"/>
          <w:i/>
          <w:iCs/>
          <w:color w:val="000000" w:themeColor="text1"/>
          <w:sz w:val="22"/>
          <w:szCs w:val="22"/>
        </w:rPr>
        <w:t xml:space="preserve"> le leadership d</w:t>
      </w:r>
      <w:r w:rsidR="002E2363">
        <w:rPr>
          <w:rFonts w:ascii="Arial" w:hAnsi="Arial"/>
          <w:i/>
          <w:iCs/>
          <w:color w:val="000000" w:themeColor="text1"/>
          <w:sz w:val="22"/>
          <w:szCs w:val="22"/>
        </w:rPr>
        <w:t>’</w:t>
      </w:r>
      <w:r w:rsidRPr="5D9B93B7">
        <w:rPr>
          <w:rFonts w:ascii="Arial" w:hAnsi="Arial"/>
          <w:i/>
          <w:iCs/>
          <w:color w:val="000000" w:themeColor="text1"/>
          <w:sz w:val="22"/>
          <w:szCs w:val="22"/>
        </w:rPr>
        <w:t xml:space="preserve">ACC, » </w:t>
      </w:r>
      <w:r w:rsidRPr="5D9B93B7">
        <w:rPr>
          <w:rFonts w:ascii="Arial" w:hAnsi="Arial"/>
          <w:b/>
          <w:bCs/>
          <w:color w:val="000000" w:themeColor="text1"/>
          <w:sz w:val="22"/>
          <w:szCs w:val="22"/>
        </w:rPr>
        <w:t>a déclaré Carlos Tavares, CEO de Stellantis</w:t>
      </w:r>
      <w:r w:rsidRPr="5D9B93B7">
        <w:rPr>
          <w:rFonts w:ascii="Arial" w:hAnsi="Arial"/>
          <w:color w:val="000000" w:themeColor="text1"/>
          <w:sz w:val="22"/>
          <w:szCs w:val="22"/>
        </w:rPr>
        <w:t>. « </w:t>
      </w:r>
      <w:r w:rsidRPr="5D9B93B7">
        <w:rPr>
          <w:rFonts w:ascii="Arial" w:hAnsi="Arial"/>
          <w:i/>
          <w:iCs/>
          <w:color w:val="000000" w:themeColor="text1"/>
          <w:sz w:val="22"/>
          <w:szCs w:val="22"/>
        </w:rPr>
        <w:t>Stellantis accélère</w:t>
      </w:r>
      <w:r w:rsidR="00E271E7" w:rsidRPr="5D9B93B7">
        <w:rPr>
          <w:rFonts w:ascii="Arial" w:hAnsi="Arial"/>
          <w:i/>
          <w:iCs/>
          <w:color w:val="000000" w:themeColor="text1"/>
          <w:sz w:val="22"/>
          <w:szCs w:val="22"/>
        </w:rPr>
        <w:t xml:space="preserve"> sa stratégie d</w:t>
      </w:r>
      <w:r w:rsidR="002E2363">
        <w:rPr>
          <w:rFonts w:ascii="Arial" w:hAnsi="Arial"/>
          <w:i/>
          <w:iCs/>
          <w:color w:val="000000" w:themeColor="text1"/>
          <w:sz w:val="22"/>
          <w:szCs w:val="22"/>
        </w:rPr>
        <w:t>’</w:t>
      </w:r>
      <w:r w:rsidR="00E271E7" w:rsidRPr="5D9B93B7">
        <w:rPr>
          <w:rFonts w:ascii="Arial" w:hAnsi="Arial"/>
          <w:i/>
          <w:iCs/>
          <w:color w:val="000000" w:themeColor="text1"/>
          <w:sz w:val="22"/>
          <w:szCs w:val="22"/>
        </w:rPr>
        <w:t>électrification</w:t>
      </w:r>
      <w:r w:rsidR="72455CB4" w:rsidRPr="5D9B93B7">
        <w:rPr>
          <w:rFonts w:ascii="Arial" w:hAnsi="Arial"/>
          <w:i/>
          <w:iCs/>
          <w:color w:val="000000" w:themeColor="text1"/>
          <w:sz w:val="22"/>
          <w:szCs w:val="22"/>
        </w:rPr>
        <w:t xml:space="preserve"> et</w:t>
      </w:r>
      <w:r w:rsidR="00E271E7" w:rsidRPr="5D9B93B7">
        <w:rPr>
          <w:rFonts w:ascii="Arial" w:hAnsi="Arial"/>
          <w:i/>
          <w:iCs/>
          <w:color w:val="000000" w:themeColor="text1"/>
          <w:sz w:val="22"/>
          <w:szCs w:val="22"/>
        </w:rPr>
        <w:t xml:space="preserve"> </w:t>
      </w:r>
      <w:r w:rsidR="52922A27" w:rsidRPr="5D9B93B7">
        <w:rPr>
          <w:rFonts w:ascii="Arial" w:hAnsi="Arial"/>
          <w:i/>
          <w:iCs/>
          <w:color w:val="000000" w:themeColor="text1"/>
          <w:sz w:val="22"/>
          <w:szCs w:val="22"/>
        </w:rPr>
        <w:t>c</w:t>
      </w:r>
      <w:r w:rsidRPr="5D9B93B7">
        <w:rPr>
          <w:rFonts w:ascii="Arial" w:hAnsi="Arial"/>
          <w:i/>
          <w:iCs/>
          <w:color w:val="000000" w:themeColor="text1"/>
          <w:sz w:val="22"/>
          <w:szCs w:val="22"/>
        </w:rPr>
        <w:t xml:space="preserve">ette annonce est une nouvelle étape pour devenir le leader des véhicules à faibles émissions, avec nos 14 marques engagées pour offrir aux clients </w:t>
      </w:r>
      <w:r w:rsidR="79FB758F" w:rsidRPr="5D9B93B7">
        <w:rPr>
          <w:rFonts w:ascii="Arial" w:hAnsi="Arial"/>
          <w:i/>
          <w:iCs/>
          <w:color w:val="000000" w:themeColor="text1"/>
          <w:sz w:val="22"/>
          <w:szCs w:val="22"/>
        </w:rPr>
        <w:t xml:space="preserve">les meilleures </w:t>
      </w:r>
      <w:r w:rsidRPr="5D9B93B7">
        <w:rPr>
          <w:rFonts w:ascii="Arial" w:hAnsi="Arial"/>
          <w:i/>
          <w:iCs/>
          <w:color w:val="000000" w:themeColor="text1"/>
          <w:sz w:val="22"/>
          <w:szCs w:val="22"/>
        </w:rPr>
        <w:t>solutions électriques. Ce consortium s</w:t>
      </w:r>
      <w:r w:rsidR="002E2363">
        <w:rPr>
          <w:rFonts w:ascii="Arial" w:hAnsi="Arial"/>
          <w:i/>
          <w:iCs/>
          <w:color w:val="000000" w:themeColor="text1"/>
          <w:sz w:val="22"/>
          <w:szCs w:val="22"/>
        </w:rPr>
        <w:t>’</w:t>
      </w:r>
      <w:r w:rsidRPr="5D9B93B7">
        <w:rPr>
          <w:rFonts w:ascii="Arial" w:hAnsi="Arial"/>
          <w:i/>
          <w:iCs/>
          <w:color w:val="000000" w:themeColor="text1"/>
          <w:sz w:val="22"/>
          <w:szCs w:val="22"/>
        </w:rPr>
        <w:t>appuie sur la mise en commun de notre expertise technique et de nos synergies industrielles, pour façonner une mobilité plus efficace, plus abordable et plus durable.</w:t>
      </w:r>
      <w:r w:rsidR="00686C83">
        <w:rPr>
          <w:rFonts w:ascii="Arial" w:hAnsi="Arial"/>
          <w:i/>
          <w:iCs/>
          <w:color w:val="000000" w:themeColor="text1"/>
          <w:sz w:val="22"/>
          <w:szCs w:val="22"/>
        </w:rPr>
        <w:t xml:space="preserve"> </w:t>
      </w:r>
      <w:r w:rsidRPr="5D9B93B7">
        <w:rPr>
          <w:rFonts w:ascii="Arial" w:hAnsi="Arial"/>
          <w:i/>
          <w:iCs/>
          <w:color w:val="000000" w:themeColor="text1"/>
          <w:sz w:val="22"/>
          <w:szCs w:val="22"/>
        </w:rPr>
        <w:t xml:space="preserve">» </w:t>
      </w:r>
    </w:p>
    <w:p w14:paraId="746A4F52" w14:textId="7BF232E8" w:rsidR="18999BC5" w:rsidRDefault="18999BC5" w:rsidP="18999BC5">
      <w:pPr>
        <w:rPr>
          <w:rFonts w:ascii="Arial" w:hAnsi="Arial"/>
          <w:i/>
          <w:iCs/>
          <w:color w:val="000000" w:themeColor="text1"/>
        </w:rPr>
      </w:pPr>
    </w:p>
    <w:p w14:paraId="7CA73D6A" w14:textId="2F0BD9A1" w:rsidR="00E759B8" w:rsidRDefault="00E271E7" w:rsidP="008E752E">
      <w:pPr>
        <w:rPr>
          <w:rFonts w:ascii="Arial" w:hAnsi="Arial"/>
          <w:b/>
          <w:bCs/>
          <w:sz w:val="22"/>
        </w:rPr>
      </w:pPr>
      <w:r>
        <w:rPr>
          <w:rFonts w:ascii="Arial" w:hAnsi="Arial"/>
          <w:i/>
          <w:iCs/>
          <w:sz w:val="22"/>
        </w:rPr>
        <w:t>« </w:t>
      </w:r>
      <w:r w:rsidR="00EC21FD" w:rsidRPr="00EC21FD">
        <w:rPr>
          <w:rFonts w:ascii="Arial" w:hAnsi="Arial"/>
          <w:i/>
          <w:iCs/>
          <w:sz w:val="22"/>
        </w:rPr>
        <w:t>Nous sommes ravis d'accueillir Mercedes-Benz en tant que nouveau partenaire d'ACC. Ceci démontre la pertinence de l’initiative prise il y a un an avec Stellantis et conforte clairement notre ambition de créer un champion européen des batteries. Ensemble, nous réunissons toutes les compétences nécessaires pour contribuer au développement durable en matière de mobilité. Cette nouvelle étape est une démonstration supplémentaire de la transformation de TotalEnergies en une entreprise multi-énergies et de notre volonté d'étendre notre présence dans le dom</w:t>
      </w:r>
      <w:r w:rsidR="00C9702B">
        <w:rPr>
          <w:rFonts w:ascii="Arial" w:hAnsi="Arial"/>
          <w:i/>
          <w:iCs/>
          <w:sz w:val="22"/>
        </w:rPr>
        <w:t xml:space="preserve">aine de la mobilité électrique. </w:t>
      </w:r>
      <w:r w:rsidR="00EC21FD" w:rsidRPr="00EC21FD">
        <w:rPr>
          <w:rFonts w:ascii="Arial" w:hAnsi="Arial"/>
          <w:i/>
          <w:iCs/>
          <w:sz w:val="22"/>
        </w:rPr>
        <w:t>TotalEnergies s'appuiera ainsi sur l'expertise reconnue de sa filiale Saft dans les batteries et sur le savoir-faire industriel de nos partenaires pour répondre à la forte croissance des véhicules électriques en Europe</w:t>
      </w:r>
      <w:r>
        <w:rPr>
          <w:rFonts w:ascii="Arial" w:hAnsi="Arial"/>
          <w:sz w:val="22"/>
        </w:rPr>
        <w:t xml:space="preserve"> » </w:t>
      </w:r>
      <w:r w:rsidR="00E27976" w:rsidRPr="00174612">
        <w:rPr>
          <w:rFonts w:ascii="Arial" w:hAnsi="Arial"/>
          <w:b/>
          <w:bCs/>
          <w:sz w:val="22"/>
        </w:rPr>
        <w:t xml:space="preserve">a déclaré Patrick Pouyanné, </w:t>
      </w:r>
      <w:r w:rsidR="00E27976">
        <w:rPr>
          <w:rFonts w:ascii="Arial" w:hAnsi="Arial"/>
          <w:b/>
          <w:bCs/>
          <w:sz w:val="22"/>
        </w:rPr>
        <w:t>p</w:t>
      </w:r>
      <w:r w:rsidR="00E27976" w:rsidRPr="00174612">
        <w:rPr>
          <w:rFonts w:ascii="Arial" w:hAnsi="Arial"/>
          <w:b/>
          <w:bCs/>
          <w:sz w:val="22"/>
        </w:rPr>
        <w:t xml:space="preserve">résident-directeur général de TotalEnergies. </w:t>
      </w:r>
    </w:p>
    <w:p w14:paraId="06E80C14" w14:textId="0D083BDB" w:rsidR="00C9702B" w:rsidRDefault="00C9702B" w:rsidP="008E752E">
      <w:pPr>
        <w:rPr>
          <w:rFonts w:ascii="Arial" w:hAnsi="Arial" w:cs="Arial"/>
          <w:sz w:val="22"/>
          <w:szCs w:val="22"/>
        </w:rPr>
      </w:pPr>
    </w:p>
    <w:p w14:paraId="4925C11C" w14:textId="77777777" w:rsidR="00CE14DD" w:rsidRPr="006425AC" w:rsidRDefault="00CE14DD" w:rsidP="008E752E">
      <w:pPr>
        <w:rPr>
          <w:rFonts w:ascii="Arial" w:hAnsi="Arial" w:cs="Arial"/>
          <w:sz w:val="22"/>
          <w:szCs w:val="22"/>
        </w:rPr>
      </w:pPr>
    </w:p>
    <w:p w14:paraId="52591983" w14:textId="77777777" w:rsidR="00F81D08" w:rsidRPr="006425AC" w:rsidRDefault="00A67EB7" w:rsidP="00CC47F6">
      <w:pPr>
        <w:jc w:val="center"/>
        <w:rPr>
          <w:rStyle w:val="Rfrenceple"/>
          <w:rFonts w:ascii="Arial" w:hAnsi="Arial" w:cs="Arial"/>
          <w:i w:val="0"/>
          <w:iCs w:val="0"/>
          <w:sz w:val="22"/>
          <w:szCs w:val="22"/>
        </w:rPr>
      </w:pPr>
      <w:r>
        <w:rPr>
          <w:rStyle w:val="Rfrenceple"/>
          <w:rFonts w:ascii="Arial" w:hAnsi="Arial"/>
          <w:sz w:val="22"/>
        </w:rPr>
        <w:t>***</w:t>
      </w:r>
    </w:p>
    <w:p w14:paraId="349E0AC2" w14:textId="56CD1415" w:rsidR="00A41F05" w:rsidRDefault="00A41F05" w:rsidP="008E752E">
      <w:pPr>
        <w:pStyle w:val="Sansinterligne"/>
        <w:jc w:val="both"/>
        <w:rPr>
          <w:rFonts w:ascii="Arial" w:hAnsi="Arial" w:cs="Arial"/>
          <w:b/>
          <w:bCs/>
        </w:rPr>
      </w:pPr>
      <w:r w:rsidRPr="00A41F05">
        <w:rPr>
          <w:rFonts w:ascii="Arial" w:eastAsiaTheme="minorHAnsi" w:hAnsi="Arial"/>
          <w:b/>
          <w:color w:val="000000" w:themeColor="text1"/>
          <w:sz w:val="20"/>
          <w:szCs w:val="18"/>
        </w:rPr>
        <w:t>A propos d</w:t>
      </w:r>
      <w:r w:rsidR="002E2363">
        <w:rPr>
          <w:rFonts w:ascii="Arial" w:eastAsiaTheme="minorHAnsi" w:hAnsi="Arial"/>
          <w:b/>
          <w:color w:val="000000" w:themeColor="text1"/>
          <w:sz w:val="20"/>
          <w:szCs w:val="18"/>
        </w:rPr>
        <w:t>’</w:t>
      </w:r>
      <w:r w:rsidRPr="00A41F05">
        <w:rPr>
          <w:rFonts w:ascii="Arial" w:eastAsiaTheme="minorHAnsi" w:hAnsi="Arial"/>
          <w:b/>
          <w:color w:val="000000" w:themeColor="text1"/>
          <w:sz w:val="20"/>
          <w:szCs w:val="18"/>
        </w:rPr>
        <w:t>ACC</w:t>
      </w:r>
    </w:p>
    <w:p w14:paraId="5AD91C55" w14:textId="1798B68D" w:rsidR="00A41F05" w:rsidRDefault="00A41F05" w:rsidP="008E752E">
      <w:pPr>
        <w:pStyle w:val="Sansinterligne"/>
        <w:jc w:val="both"/>
        <w:rPr>
          <w:rFonts w:ascii="Arial" w:eastAsiaTheme="minorHAnsi" w:hAnsi="Arial"/>
          <w:color w:val="000000" w:themeColor="text1"/>
          <w:sz w:val="20"/>
          <w:szCs w:val="18"/>
        </w:rPr>
      </w:pPr>
      <w:r w:rsidRPr="00A41F05">
        <w:rPr>
          <w:rFonts w:ascii="Arial" w:eastAsiaTheme="minorHAnsi" w:hAnsi="Arial"/>
          <w:color w:val="000000" w:themeColor="text1"/>
          <w:sz w:val="20"/>
          <w:szCs w:val="18"/>
        </w:rPr>
        <w:t>Automotive Cells Company (ACC) a été fondée en août 2020 et combine à ce jour l</w:t>
      </w:r>
      <w:r w:rsidR="002E2363">
        <w:rPr>
          <w:rFonts w:ascii="Arial" w:eastAsiaTheme="minorHAnsi" w:hAnsi="Arial"/>
          <w:color w:val="000000" w:themeColor="text1"/>
          <w:sz w:val="20"/>
          <w:szCs w:val="18"/>
        </w:rPr>
        <w:t>’</w:t>
      </w:r>
      <w:r w:rsidRPr="00A41F05">
        <w:rPr>
          <w:rFonts w:ascii="Arial" w:eastAsiaTheme="minorHAnsi" w:hAnsi="Arial"/>
          <w:color w:val="000000" w:themeColor="text1"/>
          <w:sz w:val="20"/>
          <w:szCs w:val="18"/>
        </w:rPr>
        <w:t>expertise de trois grandes entreprises aux compétences et expériences complémentaires. L</w:t>
      </w:r>
      <w:r w:rsidR="002E2363">
        <w:rPr>
          <w:rFonts w:ascii="Arial" w:eastAsiaTheme="minorHAnsi" w:hAnsi="Arial"/>
          <w:color w:val="000000" w:themeColor="text1"/>
          <w:sz w:val="20"/>
          <w:szCs w:val="18"/>
        </w:rPr>
        <w:t>’</w:t>
      </w:r>
      <w:r w:rsidRPr="00A41F05">
        <w:rPr>
          <w:rFonts w:ascii="Arial" w:eastAsiaTheme="minorHAnsi" w:hAnsi="Arial"/>
          <w:color w:val="000000" w:themeColor="text1"/>
          <w:sz w:val="20"/>
          <w:szCs w:val="18"/>
        </w:rPr>
        <w:t>ambition d</w:t>
      </w:r>
      <w:r w:rsidR="002E2363">
        <w:rPr>
          <w:rFonts w:ascii="Arial" w:eastAsiaTheme="minorHAnsi" w:hAnsi="Arial"/>
          <w:color w:val="000000" w:themeColor="text1"/>
          <w:sz w:val="20"/>
          <w:szCs w:val="18"/>
        </w:rPr>
        <w:t>’</w:t>
      </w:r>
      <w:r w:rsidRPr="00A41F05">
        <w:rPr>
          <w:rFonts w:ascii="Arial" w:eastAsiaTheme="minorHAnsi" w:hAnsi="Arial"/>
          <w:color w:val="000000" w:themeColor="text1"/>
          <w:sz w:val="20"/>
          <w:szCs w:val="18"/>
        </w:rPr>
        <w:t>ACC est de devenir le leader européen du marché des batteries automobiles qui permettent une mobilité propre et efficace pour tous. Le centre de R&amp;D et les installations d</w:t>
      </w:r>
      <w:r w:rsidR="002E2363">
        <w:rPr>
          <w:rFonts w:ascii="Arial" w:eastAsiaTheme="minorHAnsi" w:hAnsi="Arial"/>
          <w:color w:val="000000" w:themeColor="text1"/>
          <w:sz w:val="20"/>
          <w:szCs w:val="18"/>
        </w:rPr>
        <w:t>’</w:t>
      </w:r>
      <w:r w:rsidRPr="00A41F05">
        <w:rPr>
          <w:rFonts w:ascii="Arial" w:eastAsiaTheme="minorHAnsi" w:hAnsi="Arial"/>
          <w:color w:val="000000" w:themeColor="text1"/>
          <w:sz w:val="20"/>
          <w:szCs w:val="18"/>
        </w:rPr>
        <w:t>essai en Nouvelle-Aquitaine ne sont qu</w:t>
      </w:r>
      <w:r w:rsidR="002E2363">
        <w:rPr>
          <w:rFonts w:ascii="Arial" w:eastAsiaTheme="minorHAnsi" w:hAnsi="Arial"/>
          <w:color w:val="000000" w:themeColor="text1"/>
          <w:sz w:val="20"/>
          <w:szCs w:val="18"/>
        </w:rPr>
        <w:t>’</w:t>
      </w:r>
      <w:r w:rsidRPr="00A41F05">
        <w:rPr>
          <w:rFonts w:ascii="Arial" w:eastAsiaTheme="minorHAnsi" w:hAnsi="Arial"/>
          <w:color w:val="000000" w:themeColor="text1"/>
          <w:sz w:val="20"/>
          <w:szCs w:val="18"/>
        </w:rPr>
        <w:t>un début.</w:t>
      </w:r>
    </w:p>
    <w:p w14:paraId="446B726D" w14:textId="6911A7D2" w:rsidR="00A41F05" w:rsidRDefault="00A41F05" w:rsidP="008E752E">
      <w:pPr>
        <w:pStyle w:val="Sansinterligne"/>
        <w:jc w:val="both"/>
        <w:rPr>
          <w:rFonts w:ascii="Arial" w:eastAsiaTheme="minorHAnsi" w:hAnsi="Arial"/>
          <w:color w:val="000000" w:themeColor="text1"/>
          <w:sz w:val="20"/>
          <w:szCs w:val="18"/>
        </w:rPr>
      </w:pPr>
    </w:p>
    <w:p w14:paraId="324D20D2" w14:textId="77777777" w:rsidR="00A41F05" w:rsidRDefault="00A41F05" w:rsidP="00A41F05">
      <w:pPr>
        <w:rPr>
          <w:b/>
          <w:bCs/>
        </w:rPr>
      </w:pPr>
      <w:r>
        <w:rPr>
          <w:b/>
          <w:bCs/>
        </w:rPr>
        <w:t xml:space="preserve">À propos de Saft </w:t>
      </w:r>
    </w:p>
    <w:p w14:paraId="53F0E1B8" w14:textId="77CB61DF" w:rsidR="00A41F05" w:rsidRDefault="00A41F05" w:rsidP="00A41F05">
      <w:r>
        <w:t>Saft est le spécialiste des batteries de haute technologie pour l</w:t>
      </w:r>
      <w:r w:rsidR="002E2363">
        <w:t>’</w:t>
      </w:r>
      <w:r>
        <w:t>industrie, de la conception et du développement à la production, à la personnalisation et à la fourniture de services. Depuis plus de 100 ans, Saft fournit à ses clients des batteries d</w:t>
      </w:r>
      <w:r w:rsidR="002E2363">
        <w:t>’</w:t>
      </w:r>
      <w:r>
        <w:t>une durée de vie toujours plus longue, pour l</w:t>
      </w:r>
      <w:r w:rsidR="002E2363">
        <w:t>’</w:t>
      </w:r>
      <w:r>
        <w:t>alimentation de secours et la propulsion de leurs applications critiques. Notre technologie innovante, sûre et fiable assure une haute performance sur terre, en mer, dans les airs et dans l</w:t>
      </w:r>
      <w:r w:rsidR="002E2363">
        <w:t>’</w:t>
      </w:r>
      <w:r>
        <w:t>espace. Saft fournit l</w:t>
      </w:r>
      <w:r w:rsidR="002E2363">
        <w:t>’</w:t>
      </w:r>
      <w:r>
        <w:t>énergie de l</w:t>
      </w:r>
      <w:r w:rsidR="002E2363">
        <w:t>’</w:t>
      </w:r>
      <w:r>
        <w:t>industrie et des villes intelligentes, tout en assurant des fonctions de secours dans des environnements extrêmes, du cercle polaire jusqu</w:t>
      </w:r>
      <w:r w:rsidR="002E2363">
        <w:t>’</w:t>
      </w:r>
      <w:r>
        <w:t>au désert du Sahara. Saft est une filiale à 100 % de TotalEnergies, un groupe multi-énergies, qui produit et commercialise des carburants, du gaz naturel et de l</w:t>
      </w:r>
      <w:r w:rsidR="002E2363">
        <w:t>’</w:t>
      </w:r>
      <w:r>
        <w:t xml:space="preserve">électricité. </w:t>
      </w:r>
    </w:p>
    <w:p w14:paraId="5B1029FB" w14:textId="7B9FFF4B" w:rsidR="00A41F05" w:rsidRDefault="00A41F05" w:rsidP="00A41F05">
      <w:pPr>
        <w:rPr>
          <w:rStyle w:val="Lienhypertexte"/>
          <w:lang w:val="en-US"/>
        </w:rPr>
      </w:pPr>
      <w:r>
        <w:rPr>
          <w:lang w:val="en-US"/>
        </w:rPr>
        <w:t xml:space="preserve">We energize the world. </w:t>
      </w:r>
      <w:hyperlink r:id="rId11" w:history="1">
        <w:r>
          <w:rPr>
            <w:rStyle w:val="Lienhypertexte"/>
            <w:lang w:val="en-US"/>
          </w:rPr>
          <w:t>www.saftbatteries.com</w:t>
        </w:r>
      </w:hyperlink>
    </w:p>
    <w:p w14:paraId="4411E6F8" w14:textId="77777777" w:rsidR="00DF1D03" w:rsidRPr="00347F45" w:rsidRDefault="00DF1D03" w:rsidP="00A41F05">
      <w:pPr>
        <w:rPr>
          <w:rStyle w:val="Rfrenceple"/>
          <w:b/>
          <w:bCs/>
          <w:i w:val="0"/>
          <w:iCs w:val="0"/>
          <w:sz w:val="20"/>
          <w:szCs w:val="20"/>
          <w:lang w:val="en-US"/>
        </w:rPr>
      </w:pPr>
    </w:p>
    <w:p w14:paraId="65601687" w14:textId="77777777" w:rsidR="00A41F05" w:rsidRPr="00A41F05" w:rsidRDefault="00A41F05" w:rsidP="008E752E">
      <w:pPr>
        <w:pStyle w:val="Sansinterligne"/>
        <w:jc w:val="both"/>
        <w:rPr>
          <w:rFonts w:ascii="Arial" w:eastAsiaTheme="minorHAnsi" w:hAnsi="Arial"/>
          <w:color w:val="000000" w:themeColor="text1"/>
          <w:sz w:val="20"/>
          <w:szCs w:val="18"/>
          <w:lang w:val="en-US"/>
        </w:rPr>
      </w:pPr>
    </w:p>
    <w:p w14:paraId="6A1E16DF" w14:textId="77777777" w:rsidR="004E4B9E" w:rsidRPr="001B4768" w:rsidRDefault="5058506E" w:rsidP="008E752E">
      <w:pPr>
        <w:rPr>
          <w:rFonts w:ascii="Arial" w:hAnsi="Arial" w:cs="Arial"/>
        </w:rPr>
      </w:pPr>
      <w:r w:rsidRPr="001B4768">
        <w:rPr>
          <w:rFonts w:ascii="Arial" w:hAnsi="Arial"/>
          <w:b/>
          <w:color w:val="000000" w:themeColor="text1"/>
          <w:szCs w:val="18"/>
        </w:rPr>
        <w:lastRenderedPageBreak/>
        <w:t>À propos de Mercedes-Benz</w:t>
      </w:r>
      <w:r w:rsidRPr="001B4768">
        <w:rPr>
          <w:rFonts w:ascii="Arial" w:hAnsi="Arial"/>
          <w:color w:val="000000" w:themeColor="text1"/>
          <w:szCs w:val="18"/>
        </w:rPr>
        <w:t xml:space="preserve"> </w:t>
      </w:r>
    </w:p>
    <w:p w14:paraId="1F60561C" w14:textId="3CF49675" w:rsidR="008700D1" w:rsidRPr="001B4768" w:rsidRDefault="5058506E" w:rsidP="008E752E">
      <w:pPr>
        <w:rPr>
          <w:rFonts w:ascii="Arial" w:eastAsia="Arial" w:hAnsi="Arial" w:cs="Arial"/>
          <w:color w:val="000000" w:themeColor="text1"/>
        </w:rPr>
      </w:pPr>
      <w:r w:rsidRPr="001B4768">
        <w:rPr>
          <w:rFonts w:ascii="Arial" w:hAnsi="Arial"/>
          <w:color w:val="000000" w:themeColor="text1"/>
          <w:szCs w:val="18"/>
        </w:rPr>
        <w:t>Mercedes-Benz AG gère l</w:t>
      </w:r>
      <w:r w:rsidR="002E2363">
        <w:rPr>
          <w:rFonts w:ascii="Arial" w:hAnsi="Arial"/>
          <w:color w:val="000000" w:themeColor="text1"/>
          <w:szCs w:val="18"/>
        </w:rPr>
        <w:t>’</w:t>
      </w:r>
      <w:r w:rsidRPr="001B4768">
        <w:rPr>
          <w:rFonts w:ascii="Arial" w:hAnsi="Arial"/>
          <w:color w:val="000000" w:themeColor="text1"/>
          <w:szCs w:val="18"/>
        </w:rPr>
        <w:t>activité mondiale de Mercedes-Benz Cars et de Mercedes</w:t>
      </w:r>
      <w:r w:rsidR="009A7323" w:rsidRPr="001B4768">
        <w:rPr>
          <w:rFonts w:ascii="Arial" w:hAnsi="Arial"/>
          <w:color w:val="000000" w:themeColor="text1"/>
          <w:szCs w:val="18"/>
        </w:rPr>
        <w:noBreakHyphen/>
      </w:r>
      <w:r w:rsidRPr="001B4768">
        <w:rPr>
          <w:rFonts w:ascii="Arial" w:hAnsi="Arial"/>
          <w:color w:val="000000" w:themeColor="text1"/>
          <w:szCs w:val="18"/>
        </w:rPr>
        <w:t xml:space="preserve">Benz Vans, avec plus de 170 000 collaborateurs à travers le monde. La société se concentre sur le développement, la production et la vente de </w:t>
      </w:r>
      <w:r w:rsidR="005F7091" w:rsidRPr="001B4768">
        <w:rPr>
          <w:rFonts w:ascii="Arial" w:hAnsi="Arial"/>
          <w:color w:val="000000" w:themeColor="text1"/>
          <w:szCs w:val="18"/>
        </w:rPr>
        <w:t>véhicules</w:t>
      </w:r>
      <w:r w:rsidRPr="001B4768">
        <w:rPr>
          <w:rFonts w:ascii="Arial" w:hAnsi="Arial"/>
          <w:color w:val="000000" w:themeColor="text1"/>
          <w:szCs w:val="18"/>
        </w:rPr>
        <w:t xml:space="preserve"> de tourisme, de vans et de services automobiles associés. Par ailleurs, elle aspire à devenir leader dans les domaine</w:t>
      </w:r>
      <w:r w:rsidR="008331D2" w:rsidRPr="001B4768">
        <w:rPr>
          <w:rFonts w:ascii="Arial" w:hAnsi="Arial"/>
          <w:color w:val="000000" w:themeColor="text1"/>
          <w:szCs w:val="18"/>
        </w:rPr>
        <w:t>s</w:t>
      </w:r>
      <w:r w:rsidRPr="001B4768">
        <w:rPr>
          <w:rFonts w:ascii="Arial" w:hAnsi="Arial"/>
          <w:color w:val="000000" w:themeColor="text1"/>
          <w:szCs w:val="18"/>
        </w:rPr>
        <w:t xml:space="preserve"> de la mobilité électrique et des logiciels embarqués. Mercedes-Benz AG est l</w:t>
      </w:r>
      <w:r w:rsidR="002E2363">
        <w:rPr>
          <w:rFonts w:ascii="Arial" w:hAnsi="Arial"/>
          <w:color w:val="000000" w:themeColor="text1"/>
          <w:szCs w:val="18"/>
        </w:rPr>
        <w:t>’</w:t>
      </w:r>
      <w:r w:rsidRPr="001B4768">
        <w:rPr>
          <w:rFonts w:ascii="Arial" w:hAnsi="Arial"/>
          <w:color w:val="000000" w:themeColor="text1"/>
          <w:szCs w:val="18"/>
        </w:rPr>
        <w:t xml:space="preserve">un des plus gros constructeurs internationaux </w:t>
      </w:r>
      <w:r w:rsidR="005F7091" w:rsidRPr="001B4768">
        <w:rPr>
          <w:rFonts w:ascii="Arial" w:hAnsi="Arial"/>
          <w:color w:val="000000" w:themeColor="text1"/>
          <w:szCs w:val="18"/>
        </w:rPr>
        <w:t xml:space="preserve">de voitures </w:t>
      </w:r>
      <w:r w:rsidRPr="001B4768">
        <w:rPr>
          <w:rFonts w:ascii="Arial" w:hAnsi="Arial"/>
          <w:color w:val="000000" w:themeColor="text1"/>
          <w:szCs w:val="18"/>
        </w:rPr>
        <w:t xml:space="preserve">de luxe. Dans ses deux branches, Mercedes-Benz AG élargit constamment son réseau de production mondial avec 35 sites de production répartis sur 4 continents, tout en </w:t>
      </w:r>
      <w:r w:rsidR="008331D2" w:rsidRPr="001B4768">
        <w:rPr>
          <w:rFonts w:ascii="Arial" w:hAnsi="Arial"/>
          <w:color w:val="000000" w:themeColor="text1"/>
          <w:szCs w:val="18"/>
        </w:rPr>
        <w:t>s</w:t>
      </w:r>
      <w:r w:rsidR="002E2363">
        <w:rPr>
          <w:rFonts w:ascii="Arial" w:hAnsi="Arial"/>
          <w:color w:val="000000" w:themeColor="text1"/>
          <w:szCs w:val="18"/>
        </w:rPr>
        <w:t>’</w:t>
      </w:r>
      <w:r w:rsidRPr="001B4768">
        <w:rPr>
          <w:rFonts w:ascii="Arial" w:hAnsi="Arial"/>
          <w:color w:val="000000" w:themeColor="text1"/>
          <w:szCs w:val="18"/>
        </w:rPr>
        <w:t>outillant pour répondre aux enjeux de la mobilité électrique. En parallèle, la société développe son réseau de production de batteries sur 3 continents.</w:t>
      </w:r>
    </w:p>
    <w:p w14:paraId="4DD435A1" w14:textId="77777777" w:rsidR="008700D1" w:rsidRPr="001B4768" w:rsidRDefault="008700D1" w:rsidP="008E752E">
      <w:pPr>
        <w:pStyle w:val="Sansinterligne"/>
        <w:jc w:val="both"/>
        <w:rPr>
          <w:rFonts w:ascii="Arial" w:hAnsi="Arial" w:cs="Arial"/>
          <w:b/>
          <w:bCs/>
          <w:sz w:val="20"/>
          <w:szCs w:val="20"/>
        </w:rPr>
      </w:pPr>
    </w:p>
    <w:p w14:paraId="611A49F0" w14:textId="77777777" w:rsidR="008700D1" w:rsidRPr="001B4768" w:rsidRDefault="3068C277" w:rsidP="008E752E">
      <w:pPr>
        <w:rPr>
          <w:rFonts w:ascii="Arial" w:eastAsia="Arial" w:hAnsi="Arial" w:cs="Arial"/>
          <w:b/>
          <w:bCs/>
          <w:color w:val="000000" w:themeColor="text1"/>
        </w:rPr>
      </w:pPr>
      <w:r w:rsidRPr="001B4768">
        <w:rPr>
          <w:rFonts w:ascii="Arial" w:hAnsi="Arial"/>
          <w:b/>
          <w:color w:val="000000" w:themeColor="text1"/>
          <w:szCs w:val="18"/>
        </w:rPr>
        <w:t>À propos de Stellantis</w:t>
      </w:r>
    </w:p>
    <w:p w14:paraId="48935DF8" w14:textId="4FDC28A0" w:rsidR="008700D1" w:rsidRPr="001B4768" w:rsidRDefault="3068C277" w:rsidP="008E752E">
      <w:pPr>
        <w:rPr>
          <w:rFonts w:ascii="Arial" w:eastAsia="Arial" w:hAnsi="Arial" w:cs="Arial"/>
          <w:color w:val="000000" w:themeColor="text1"/>
        </w:rPr>
      </w:pPr>
      <w:r w:rsidRPr="001B4768">
        <w:rPr>
          <w:rFonts w:ascii="Arial" w:hAnsi="Arial"/>
          <w:color w:val="000000" w:themeColor="text1"/>
          <w:szCs w:val="18"/>
        </w:rPr>
        <w:t>Stellantis est un constructeur automobile mondial et un fournisseur de mobilité de premier plan, guidé par une vision claire : offrir la liberté de mouvement à tous grâce à des solutions de mobilité abordables, polyvalentes et durables.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w:t>
      </w:r>
      <w:r w:rsidR="002E2363">
        <w:rPr>
          <w:rFonts w:ascii="Arial" w:hAnsi="Arial"/>
          <w:color w:val="000000" w:themeColor="text1"/>
          <w:szCs w:val="18"/>
        </w:rPr>
        <w:t>’</w:t>
      </w:r>
      <w:r w:rsidRPr="001B4768">
        <w:rPr>
          <w:rFonts w:ascii="Arial" w:hAnsi="Arial"/>
          <w:color w:val="000000" w:themeColor="text1"/>
          <w:szCs w:val="18"/>
        </w:rPr>
        <w:t xml:space="preserve">hui, aussi bien auprès des employés que des clients. Stellantis aspire à devenir le meilleur, et non le plus grand, tout en créant de la valeur ajoutée pour toutes les parties prenantes ainsi que pour les communautés dans lesquelles il opère. </w:t>
      </w:r>
    </w:p>
    <w:p w14:paraId="5888CE81" w14:textId="77777777" w:rsidR="008700D1" w:rsidRPr="001B4768" w:rsidRDefault="008700D1" w:rsidP="008E752E">
      <w:pPr>
        <w:pStyle w:val="Sansinterligne"/>
        <w:jc w:val="both"/>
        <w:rPr>
          <w:rFonts w:ascii="Arial" w:hAnsi="Arial" w:cs="Arial"/>
          <w:b/>
          <w:bCs/>
          <w:sz w:val="20"/>
          <w:szCs w:val="20"/>
        </w:rPr>
      </w:pPr>
    </w:p>
    <w:p w14:paraId="434AB13A" w14:textId="77777777" w:rsidR="00314158" w:rsidRPr="00314158" w:rsidRDefault="00314158" w:rsidP="00314158">
      <w:pPr>
        <w:rPr>
          <w:rFonts w:ascii="Arial" w:eastAsia="SimSun" w:hAnsi="Arial"/>
          <w:b/>
        </w:rPr>
      </w:pPr>
      <w:r w:rsidRPr="00314158">
        <w:rPr>
          <w:rFonts w:ascii="Arial" w:eastAsia="SimSun" w:hAnsi="Arial"/>
          <w:b/>
        </w:rPr>
        <w:t xml:space="preserve">À propos de TotalEnergies </w:t>
      </w:r>
    </w:p>
    <w:p w14:paraId="53338886" w14:textId="4EB62987" w:rsidR="008C5CDE" w:rsidRDefault="00314158" w:rsidP="00314158">
      <w:pPr>
        <w:rPr>
          <w:rFonts w:ascii="Arial" w:eastAsia="SimSun" w:hAnsi="Arial"/>
          <w:bCs/>
        </w:rPr>
      </w:pPr>
      <w:r w:rsidRPr="00314158">
        <w:rPr>
          <w:rFonts w:ascii="Arial" w:eastAsia="SimSun" w:hAnsi="Arial"/>
          <w:bCs/>
        </w:rPr>
        <w:t>TotalEnergies est une compagnie multi-énergies mondiale de production et de fourniture d</w:t>
      </w:r>
      <w:r w:rsidR="002E2363">
        <w:rPr>
          <w:rFonts w:ascii="Arial" w:eastAsia="SimSun" w:hAnsi="Arial"/>
          <w:bCs/>
        </w:rPr>
        <w:t>’</w:t>
      </w:r>
      <w:r w:rsidRPr="00314158">
        <w:rPr>
          <w:rFonts w:ascii="Arial" w:eastAsia="SimSun" w:hAnsi="Arial"/>
          <w:bCs/>
        </w:rPr>
        <w:t>énergies : pétrole et biocarburants, gaz naturel et gaz verts, renouvelables et électricité. Ses 105 000 collaborateurs s</w:t>
      </w:r>
      <w:r w:rsidR="002E2363">
        <w:rPr>
          <w:rFonts w:ascii="Arial" w:eastAsia="SimSun" w:hAnsi="Arial"/>
          <w:bCs/>
        </w:rPr>
        <w:t>’</w:t>
      </w:r>
      <w:r w:rsidRPr="00314158">
        <w:rPr>
          <w:rFonts w:ascii="Arial" w:eastAsia="SimSun" w:hAnsi="Arial"/>
          <w:bCs/>
        </w:rPr>
        <w:t>engagent pour une énergie toujours plus abordable, propre, fiable et accessible au plus grand nombre. Présent dans plus de 130 pays, TotalEnergies inscrit le développement durable dans toutes ses dimensions au cœur de ses projets et opérations pour contribuer au bien-être des populations.</w:t>
      </w:r>
    </w:p>
    <w:p w14:paraId="7951FAA8" w14:textId="5909ED66" w:rsidR="007C092F" w:rsidRDefault="007C092F" w:rsidP="00314158">
      <w:pPr>
        <w:rPr>
          <w:rFonts w:ascii="Arial" w:eastAsia="SimSun" w:hAnsi="Arial"/>
          <w:bCs/>
        </w:rPr>
      </w:pPr>
    </w:p>
    <w:p w14:paraId="346DACE1" w14:textId="7BE9B9BD" w:rsidR="007C092F" w:rsidRPr="00527511" w:rsidRDefault="007C092F" w:rsidP="007C092F">
      <w:pPr>
        <w:rPr>
          <w:rFonts w:eastAsia="Arial" w:cstheme="minorHAnsi"/>
          <w:b/>
          <w:color w:val="000000" w:themeColor="text1"/>
          <w:lang w:val="en-US"/>
        </w:rPr>
      </w:pPr>
      <w:r>
        <w:rPr>
          <w:rFonts w:eastAsia="Arial" w:cstheme="minorHAnsi"/>
          <w:b/>
          <w:color w:val="000000" w:themeColor="text1"/>
          <w:lang w:val="en-US"/>
        </w:rPr>
        <w:t>C</w:t>
      </w:r>
      <w:r w:rsidRPr="00527511">
        <w:rPr>
          <w:rFonts w:eastAsia="Arial" w:cstheme="minorHAnsi"/>
          <w:b/>
          <w:color w:val="000000" w:themeColor="text1"/>
          <w:lang w:val="en-US"/>
        </w:rPr>
        <w:t>ontact</w:t>
      </w:r>
      <w:r w:rsidRPr="007C092F">
        <w:rPr>
          <w:rFonts w:eastAsia="Arial" w:cstheme="minorHAnsi"/>
          <w:b/>
          <w:color w:val="000000" w:themeColor="text1"/>
          <w:lang w:val="en-US"/>
        </w:rPr>
        <w:t xml:space="preserve"> </w:t>
      </w:r>
      <w:proofErr w:type="gramStart"/>
      <w:r w:rsidRPr="00527511">
        <w:rPr>
          <w:rFonts w:eastAsia="Arial" w:cstheme="minorHAnsi"/>
          <w:b/>
          <w:color w:val="000000" w:themeColor="text1"/>
          <w:lang w:val="en-US"/>
        </w:rPr>
        <w:t>ACC</w:t>
      </w:r>
      <w:r>
        <w:rPr>
          <w:rFonts w:eastAsia="Arial" w:cstheme="minorHAnsi"/>
          <w:b/>
          <w:color w:val="000000" w:themeColor="text1"/>
          <w:lang w:val="en-US"/>
        </w:rPr>
        <w:t xml:space="preserve"> </w:t>
      </w:r>
      <w:r w:rsidRPr="00527511">
        <w:rPr>
          <w:rFonts w:eastAsia="Arial" w:cstheme="minorHAnsi"/>
          <w:b/>
          <w:color w:val="000000" w:themeColor="text1"/>
          <w:lang w:val="en-US"/>
        </w:rPr>
        <w:t>:</w:t>
      </w:r>
      <w:proofErr w:type="gramEnd"/>
    </w:p>
    <w:p w14:paraId="6E8DF167" w14:textId="77777777" w:rsidR="007C092F" w:rsidRPr="00527511" w:rsidRDefault="007C092F" w:rsidP="007C092F">
      <w:pPr>
        <w:rPr>
          <w:rFonts w:cstheme="minorHAnsi"/>
          <w:lang w:val="en-US"/>
        </w:rPr>
      </w:pPr>
      <w:r w:rsidRPr="00527511">
        <w:rPr>
          <w:rFonts w:cstheme="minorHAnsi"/>
          <w:lang w:val="en-US"/>
        </w:rPr>
        <w:t xml:space="preserve">Matthieu Hubert: +33 (0) 6 88 05 16 26, </w:t>
      </w:r>
      <w:r w:rsidRPr="00527511">
        <w:rPr>
          <w:rStyle w:val="Lienhypertexte"/>
          <w:lang w:val="en-US"/>
        </w:rPr>
        <w:t>matthieu.hubert@acc-emotion.com</w:t>
      </w:r>
    </w:p>
    <w:p w14:paraId="5672E910" w14:textId="77777777" w:rsidR="007C092F" w:rsidRPr="00527511" w:rsidRDefault="007C092F" w:rsidP="007C092F">
      <w:pPr>
        <w:rPr>
          <w:rFonts w:cstheme="minorHAnsi"/>
          <w:lang w:val="en-US"/>
        </w:rPr>
      </w:pPr>
    </w:p>
    <w:p w14:paraId="1163F357" w14:textId="74AF9FBB" w:rsidR="007C092F" w:rsidRPr="00527511" w:rsidRDefault="007C092F" w:rsidP="007C092F">
      <w:pPr>
        <w:rPr>
          <w:rStyle w:val="Rfrenceple"/>
          <w:rFonts w:cstheme="minorHAnsi"/>
          <w:b/>
          <w:i w:val="0"/>
          <w:iCs w:val="0"/>
          <w:sz w:val="20"/>
          <w:szCs w:val="20"/>
          <w:lang w:val="en-US"/>
        </w:rPr>
      </w:pPr>
      <w:r>
        <w:rPr>
          <w:rStyle w:val="Rfrenceple"/>
          <w:rFonts w:cstheme="minorHAnsi"/>
          <w:b/>
          <w:i w:val="0"/>
          <w:iCs w:val="0"/>
          <w:sz w:val="20"/>
          <w:szCs w:val="20"/>
          <w:lang w:val="en-US"/>
        </w:rPr>
        <w:t>C</w:t>
      </w:r>
      <w:r w:rsidRPr="00527511">
        <w:rPr>
          <w:rStyle w:val="Rfrenceple"/>
          <w:rFonts w:cstheme="minorHAnsi"/>
          <w:b/>
          <w:i w:val="0"/>
          <w:iCs w:val="0"/>
          <w:sz w:val="20"/>
          <w:szCs w:val="20"/>
          <w:lang w:val="en-US"/>
        </w:rPr>
        <w:t>ontacts Mercedes-</w:t>
      </w:r>
      <w:proofErr w:type="gramStart"/>
      <w:r w:rsidRPr="00527511">
        <w:rPr>
          <w:rStyle w:val="Rfrenceple"/>
          <w:rFonts w:cstheme="minorHAnsi"/>
          <w:b/>
          <w:i w:val="0"/>
          <w:iCs w:val="0"/>
          <w:sz w:val="20"/>
          <w:szCs w:val="20"/>
          <w:lang w:val="en-US"/>
        </w:rPr>
        <w:t>Benz</w:t>
      </w:r>
      <w:r>
        <w:rPr>
          <w:rStyle w:val="Rfrenceple"/>
          <w:rFonts w:cstheme="minorHAnsi"/>
          <w:b/>
          <w:i w:val="0"/>
          <w:iCs w:val="0"/>
          <w:sz w:val="20"/>
          <w:szCs w:val="20"/>
          <w:lang w:val="en-US"/>
        </w:rPr>
        <w:t xml:space="preserve"> </w:t>
      </w:r>
      <w:r w:rsidRPr="00527511">
        <w:rPr>
          <w:rStyle w:val="Rfrenceple"/>
          <w:rFonts w:cstheme="minorHAnsi"/>
          <w:b/>
          <w:i w:val="0"/>
          <w:iCs w:val="0"/>
          <w:sz w:val="20"/>
          <w:szCs w:val="20"/>
          <w:lang w:val="en-US"/>
        </w:rPr>
        <w:t>:</w:t>
      </w:r>
      <w:proofErr w:type="gramEnd"/>
    </w:p>
    <w:p w14:paraId="427B12FE" w14:textId="77777777" w:rsidR="007C092F" w:rsidRPr="00FB5F67" w:rsidRDefault="007C092F" w:rsidP="007C092F">
      <w:pPr>
        <w:rPr>
          <w:rFonts w:cstheme="minorHAnsi"/>
        </w:rPr>
      </w:pPr>
      <w:r w:rsidRPr="00FB5F67">
        <w:rPr>
          <w:rFonts w:cstheme="minorHAnsi"/>
        </w:rPr>
        <w:t xml:space="preserve">Aline Meiser: +49 (0) 176 30 900 064, </w:t>
      </w:r>
      <w:r w:rsidRPr="00FB5F67">
        <w:rPr>
          <w:rStyle w:val="Lienhypertexte"/>
        </w:rPr>
        <w:t>aline.meiser@daimler.com</w:t>
      </w:r>
      <w:r w:rsidRPr="00FB5F67">
        <w:rPr>
          <w:rFonts w:cstheme="minorHAnsi"/>
        </w:rPr>
        <w:t xml:space="preserve"> </w:t>
      </w:r>
    </w:p>
    <w:p w14:paraId="06947192" w14:textId="77777777" w:rsidR="007C092F" w:rsidRPr="00527511" w:rsidRDefault="007C092F" w:rsidP="007C092F">
      <w:pPr>
        <w:rPr>
          <w:rStyle w:val="Lienhypertexte"/>
          <w:rFonts w:cstheme="minorHAnsi"/>
          <w:lang w:val="en-US"/>
        </w:rPr>
      </w:pPr>
      <w:r w:rsidRPr="00527511">
        <w:rPr>
          <w:rFonts w:cstheme="minorHAnsi"/>
          <w:lang w:val="en-US"/>
        </w:rPr>
        <w:t xml:space="preserve">Heike Rombach: +49 (0) 176 30 922 505, </w:t>
      </w:r>
      <w:hyperlink r:id="rId12" w:history="1">
        <w:r w:rsidRPr="00527511">
          <w:rPr>
            <w:rStyle w:val="Lienhypertexte"/>
            <w:rFonts w:cstheme="minorHAnsi"/>
            <w:lang w:val="en-US"/>
          </w:rPr>
          <w:t>heike.rombach@daimler.com</w:t>
        </w:r>
      </w:hyperlink>
    </w:p>
    <w:p w14:paraId="07D5929C" w14:textId="77777777" w:rsidR="007C092F" w:rsidRPr="00527511" w:rsidRDefault="007C092F" w:rsidP="007C092F">
      <w:pPr>
        <w:rPr>
          <w:rStyle w:val="Lienhypertexte"/>
          <w:rFonts w:cstheme="minorHAnsi"/>
          <w:color w:val="auto"/>
          <w:lang w:val="en-US"/>
        </w:rPr>
      </w:pPr>
    </w:p>
    <w:p w14:paraId="2766105D" w14:textId="0F6F372A" w:rsidR="007C092F" w:rsidRPr="00527511" w:rsidRDefault="00E271E7" w:rsidP="007C092F">
      <w:pPr>
        <w:rPr>
          <w:rFonts w:cstheme="minorHAnsi"/>
          <w:lang w:val="en-US"/>
        </w:rPr>
      </w:pPr>
      <w:r w:rsidRPr="00E271E7">
        <w:rPr>
          <w:rStyle w:val="Rfrenceple"/>
          <w:b/>
          <w:i w:val="0"/>
          <w:sz w:val="20"/>
          <w:szCs w:val="20"/>
          <w:lang w:val="en-US"/>
        </w:rPr>
        <w:t xml:space="preserve">Contact </w:t>
      </w:r>
      <w:proofErr w:type="gramStart"/>
      <w:r w:rsidR="007C092F" w:rsidRPr="00E271E7">
        <w:rPr>
          <w:rStyle w:val="Rfrenceple"/>
          <w:b/>
          <w:i w:val="0"/>
          <w:sz w:val="20"/>
          <w:szCs w:val="20"/>
          <w:lang w:val="en-US"/>
        </w:rPr>
        <w:t>Saft</w:t>
      </w:r>
      <w:r>
        <w:rPr>
          <w:rStyle w:val="Rfrenceple"/>
          <w:b/>
          <w:i w:val="0"/>
          <w:sz w:val="20"/>
          <w:szCs w:val="20"/>
          <w:lang w:val="en-US"/>
        </w:rPr>
        <w:t xml:space="preserve"> </w:t>
      </w:r>
      <w:r w:rsidR="007C092F" w:rsidRPr="00E271E7">
        <w:rPr>
          <w:rStyle w:val="Rfrenceple"/>
          <w:b/>
          <w:i w:val="0"/>
          <w:sz w:val="20"/>
          <w:szCs w:val="20"/>
          <w:lang w:val="en-US"/>
        </w:rPr>
        <w:t>:</w:t>
      </w:r>
      <w:proofErr w:type="gramEnd"/>
      <w:r w:rsidRPr="00E271E7">
        <w:rPr>
          <w:rStyle w:val="Rfrenceple"/>
          <w:b/>
          <w:i w:val="0"/>
          <w:sz w:val="20"/>
          <w:szCs w:val="20"/>
          <w:lang w:val="en-US"/>
        </w:rPr>
        <w:tab/>
      </w:r>
      <w:r w:rsidR="007C092F" w:rsidRPr="00527511">
        <w:rPr>
          <w:rStyle w:val="Rfrenceple"/>
          <w:b/>
          <w:sz w:val="20"/>
          <w:szCs w:val="20"/>
          <w:lang w:val="en-US"/>
        </w:rPr>
        <w:br/>
      </w:r>
      <w:r w:rsidR="007C092F" w:rsidRPr="00527511">
        <w:rPr>
          <w:rStyle w:val="Lienhypertexte"/>
          <w:rFonts w:cstheme="minorHAnsi"/>
          <w:color w:val="auto"/>
          <w:u w:val="none"/>
          <w:lang w:val="en-US"/>
        </w:rPr>
        <w:t>Elma Peters: +33 (0) 7 63 46 06 47</w:t>
      </w:r>
      <w:r w:rsidR="007C092F" w:rsidRPr="00527511">
        <w:rPr>
          <w:rStyle w:val="Lienhypertexte"/>
          <w:rFonts w:cstheme="minorHAnsi"/>
          <w:lang w:val="en-US"/>
        </w:rPr>
        <w:t>; elma.peters@saftbatteries.com</w:t>
      </w:r>
    </w:p>
    <w:p w14:paraId="118E8147" w14:textId="77777777" w:rsidR="007C092F" w:rsidRPr="00527511" w:rsidRDefault="007C092F" w:rsidP="007C092F">
      <w:pPr>
        <w:rPr>
          <w:rFonts w:cstheme="minorHAnsi"/>
          <w:lang w:val="en-US"/>
        </w:rPr>
      </w:pPr>
    </w:p>
    <w:p w14:paraId="23022AD4" w14:textId="38A406D9" w:rsidR="007C092F" w:rsidRPr="007C092F" w:rsidRDefault="007C092F" w:rsidP="007C092F">
      <w:pPr>
        <w:rPr>
          <w:rFonts w:cstheme="minorHAnsi"/>
        </w:rPr>
      </w:pPr>
      <w:r>
        <w:rPr>
          <w:rFonts w:cstheme="minorHAnsi"/>
          <w:b/>
          <w:bCs/>
        </w:rPr>
        <w:t>C</w:t>
      </w:r>
      <w:r w:rsidRPr="007C092F">
        <w:rPr>
          <w:rFonts w:cstheme="minorHAnsi"/>
          <w:b/>
          <w:bCs/>
        </w:rPr>
        <w:t>ontacts Stellantis</w:t>
      </w:r>
      <w:r w:rsidR="00E271E7">
        <w:rPr>
          <w:rFonts w:cstheme="minorHAnsi"/>
          <w:b/>
          <w:bCs/>
        </w:rPr>
        <w:t xml:space="preserve"> </w:t>
      </w:r>
      <w:r w:rsidRPr="007C092F">
        <w:rPr>
          <w:rFonts w:cstheme="minorHAnsi"/>
          <w:b/>
          <w:bCs/>
        </w:rPr>
        <w:t>:</w:t>
      </w:r>
    </w:p>
    <w:p w14:paraId="2531DD09" w14:textId="77777777" w:rsidR="007C092F" w:rsidRPr="007C092F" w:rsidRDefault="007C092F" w:rsidP="007C092F">
      <w:pPr>
        <w:rPr>
          <w:rFonts w:cstheme="minorHAnsi"/>
        </w:rPr>
      </w:pPr>
      <w:r w:rsidRPr="007C092F">
        <w:rPr>
          <w:rFonts w:cstheme="minorHAnsi"/>
        </w:rPr>
        <w:t xml:space="preserve">Pierre-Olivier Salmon: +33 6 76 86 45 48, </w:t>
      </w:r>
      <w:r w:rsidRPr="007C092F">
        <w:rPr>
          <w:rStyle w:val="Lienhypertexte"/>
        </w:rPr>
        <w:t>pierreolivier.salmon@stellantis.com</w:t>
      </w:r>
    </w:p>
    <w:p w14:paraId="04F969D4" w14:textId="77777777" w:rsidR="007C092F" w:rsidRPr="007E1826" w:rsidRDefault="007C092F" w:rsidP="007C092F">
      <w:pPr>
        <w:rPr>
          <w:rFonts w:cstheme="minorHAnsi"/>
          <w:lang w:val="en-US"/>
        </w:rPr>
      </w:pPr>
      <w:r w:rsidRPr="007E1826">
        <w:rPr>
          <w:rFonts w:cstheme="minorHAnsi"/>
          <w:lang w:val="en-US"/>
        </w:rPr>
        <w:t xml:space="preserve">Valerie Gillot: +33 6 83 92 92 96, </w:t>
      </w:r>
      <w:r w:rsidRPr="007E1826">
        <w:rPr>
          <w:rStyle w:val="Lienhypertexte"/>
          <w:lang w:val="en-US"/>
        </w:rPr>
        <w:t>valerie.gillot@stellantis.com</w:t>
      </w:r>
    </w:p>
    <w:p w14:paraId="6CE55152" w14:textId="77777777" w:rsidR="007C092F" w:rsidRPr="007E1826" w:rsidRDefault="007C092F" w:rsidP="00314158">
      <w:pPr>
        <w:rPr>
          <w:rFonts w:ascii="Arial" w:eastAsia="SimSun" w:hAnsi="Arial"/>
          <w:bCs/>
          <w:lang w:val="en-US"/>
        </w:rPr>
      </w:pPr>
    </w:p>
    <w:p w14:paraId="7326F614" w14:textId="77777777" w:rsidR="00314158" w:rsidRPr="007E1826" w:rsidRDefault="00314158" w:rsidP="00314158">
      <w:pPr>
        <w:rPr>
          <w:rStyle w:val="Rfrenceple"/>
          <w:rFonts w:ascii="Arial" w:hAnsi="Arial" w:cs="Arial"/>
          <w:i w:val="0"/>
          <w:iCs w:val="0"/>
          <w:sz w:val="20"/>
          <w:szCs w:val="20"/>
          <w:lang w:val="en-US"/>
        </w:rPr>
      </w:pPr>
    </w:p>
    <w:p w14:paraId="761C11E9" w14:textId="77777777" w:rsidR="003868B3" w:rsidRDefault="003868B3" w:rsidP="003868B3">
      <w:pPr>
        <w:pStyle w:val="Sansinterligne"/>
        <w:jc w:val="both"/>
        <w:rPr>
          <w:rFonts w:ascii="Arial" w:hAnsi="Arial" w:cs="Arial"/>
          <w:b/>
          <w:bCs/>
          <w:sz w:val="20"/>
          <w:szCs w:val="20"/>
        </w:rPr>
      </w:pPr>
      <w:r>
        <w:rPr>
          <w:rFonts w:ascii="Arial" w:hAnsi="Arial" w:cs="Arial"/>
          <w:b/>
          <w:bCs/>
          <w:sz w:val="20"/>
          <w:szCs w:val="20"/>
        </w:rPr>
        <w:t>Contacts TotalEnergies</w:t>
      </w:r>
    </w:p>
    <w:p w14:paraId="2DE7FFDF" w14:textId="77777777" w:rsidR="003868B3" w:rsidRDefault="003868B3" w:rsidP="00E271E7">
      <w:pPr>
        <w:pStyle w:val="Sansinterligne"/>
        <w:contextualSpacing/>
        <w:jc w:val="both"/>
        <w:rPr>
          <w:rFonts w:ascii="Arial" w:eastAsia="Arial" w:hAnsi="Arial" w:cs="Arial"/>
          <w:sz w:val="20"/>
          <w:szCs w:val="20"/>
        </w:rPr>
      </w:pPr>
      <w:r>
        <w:rPr>
          <w:rFonts w:ascii="Arial" w:eastAsia="Arial" w:hAnsi="Arial" w:cs="Arial"/>
          <w:sz w:val="20"/>
          <w:szCs w:val="20"/>
        </w:rPr>
        <w:t>Relations Médias : +33 1 47 44 46 99 l </w:t>
      </w:r>
      <w:hyperlink r:id="rId13" w:history="1">
        <w:r>
          <w:rPr>
            <w:rStyle w:val="Lienhypertexte"/>
            <w:rFonts w:ascii="Arial" w:eastAsia="Arial" w:hAnsi="Arial" w:cs="Arial"/>
            <w:sz w:val="20"/>
            <w:szCs w:val="20"/>
          </w:rPr>
          <w:t>presse@totalenergies.com</w:t>
        </w:r>
      </w:hyperlink>
      <w:r>
        <w:rPr>
          <w:rFonts w:ascii="Arial" w:eastAsia="Arial" w:hAnsi="Arial" w:cs="Arial"/>
          <w:sz w:val="20"/>
          <w:szCs w:val="20"/>
        </w:rPr>
        <w:t> l @TotalEnergiesPR</w:t>
      </w:r>
    </w:p>
    <w:p w14:paraId="384FDAF7" w14:textId="77777777" w:rsidR="003868B3" w:rsidRDefault="003868B3" w:rsidP="00E271E7">
      <w:pPr>
        <w:pStyle w:val="Sansinterligne"/>
        <w:contextualSpacing/>
        <w:jc w:val="both"/>
        <w:rPr>
          <w:rFonts w:ascii="Arial" w:eastAsia="Arial" w:hAnsi="Arial" w:cs="Arial"/>
          <w:sz w:val="20"/>
          <w:szCs w:val="20"/>
        </w:rPr>
      </w:pPr>
      <w:r>
        <w:rPr>
          <w:rFonts w:ascii="Arial" w:eastAsia="Arial" w:hAnsi="Arial" w:cs="Arial"/>
          <w:sz w:val="20"/>
          <w:szCs w:val="20"/>
        </w:rPr>
        <w:t>Relations Investisseurs : +44 (0)207 719 7962 l </w:t>
      </w:r>
      <w:hyperlink r:id="rId14" w:history="1">
        <w:r>
          <w:rPr>
            <w:rStyle w:val="Lienhypertexte"/>
            <w:rFonts w:ascii="Arial" w:eastAsia="Arial" w:hAnsi="Arial" w:cs="Arial"/>
            <w:sz w:val="20"/>
            <w:szCs w:val="20"/>
          </w:rPr>
          <w:t>ir@totalenergies.com</w:t>
        </w:r>
      </w:hyperlink>
    </w:p>
    <w:p w14:paraId="49B11FF9" w14:textId="6688DE98" w:rsidR="007E1826" w:rsidRDefault="007E1826" w:rsidP="6841F021">
      <w:pPr>
        <w:rPr>
          <w:rStyle w:val="Rfrenceple"/>
          <w:rFonts w:ascii="Arial" w:hAnsi="Arial"/>
          <w:i w:val="0"/>
          <w:iCs w:val="0"/>
          <w:sz w:val="20"/>
          <w:szCs w:val="20"/>
        </w:rPr>
      </w:pPr>
    </w:p>
    <w:p w14:paraId="5AFF3711" w14:textId="548EB2BC" w:rsidR="238CF95E" w:rsidRDefault="238CF95E" w:rsidP="5D9B93B7">
      <w:pPr>
        <w:rPr>
          <w:rStyle w:val="Rfrenceple"/>
          <w:rFonts w:ascii="Arial" w:hAnsi="Arial"/>
          <w:i w:val="0"/>
          <w:iCs w:val="0"/>
          <w:strike/>
          <w:sz w:val="20"/>
          <w:szCs w:val="20"/>
        </w:rPr>
      </w:pPr>
    </w:p>
    <w:p w14:paraId="5745336E" w14:textId="1E1F7055" w:rsidR="4A72EF96" w:rsidRDefault="4A72EF96" w:rsidP="238CF95E">
      <w:pPr>
        <w:rPr>
          <w:rStyle w:val="Rfrenceple"/>
          <w:rFonts w:ascii="Arial" w:hAnsi="Arial"/>
          <w:b/>
          <w:bCs/>
          <w:i w:val="0"/>
          <w:iCs w:val="0"/>
          <w:sz w:val="20"/>
          <w:szCs w:val="20"/>
        </w:rPr>
      </w:pPr>
      <w:r w:rsidRPr="238CF95E">
        <w:rPr>
          <w:rStyle w:val="Rfrenceple"/>
          <w:rFonts w:ascii="Arial" w:hAnsi="Arial"/>
          <w:b/>
          <w:bCs/>
          <w:i w:val="0"/>
          <w:iCs w:val="0"/>
          <w:sz w:val="20"/>
          <w:szCs w:val="20"/>
        </w:rPr>
        <w:t>Avertissement</w:t>
      </w:r>
    </w:p>
    <w:p w14:paraId="3415A4B7" w14:textId="7D120254" w:rsidR="4A72EF96" w:rsidRDefault="4A72EF96" w:rsidP="238CF95E">
      <w:pPr>
        <w:rPr>
          <w:rStyle w:val="Rfrenceple"/>
          <w:rFonts w:ascii="Arial" w:hAnsi="Arial"/>
          <w:i w:val="0"/>
          <w:iCs w:val="0"/>
          <w:sz w:val="20"/>
          <w:szCs w:val="20"/>
        </w:rPr>
      </w:pPr>
      <w:r w:rsidRPr="238CF95E">
        <w:rPr>
          <w:rStyle w:val="Rfrenceple"/>
          <w:rFonts w:ascii="Arial" w:hAnsi="Arial"/>
          <w:i w:val="0"/>
          <w:iCs w:val="0"/>
          <w:sz w:val="20"/>
          <w:szCs w:val="20"/>
        </w:rPr>
        <w:t>Ce communiqué de presse est publié uniquement à des fins d</w:t>
      </w:r>
      <w:r w:rsidR="002E2363">
        <w:rPr>
          <w:rStyle w:val="Rfrenceple"/>
          <w:rFonts w:ascii="Arial" w:hAnsi="Arial"/>
          <w:i w:val="0"/>
          <w:iCs w:val="0"/>
          <w:sz w:val="20"/>
          <w:szCs w:val="20"/>
        </w:rPr>
        <w:t>’</w:t>
      </w:r>
      <w:r w:rsidRPr="238CF95E">
        <w:rPr>
          <w:rStyle w:val="Rfrenceple"/>
          <w:rFonts w:ascii="Arial" w:hAnsi="Arial"/>
          <w:i w:val="0"/>
          <w:iCs w:val="0"/>
          <w:sz w:val="20"/>
          <w:szCs w:val="20"/>
        </w:rPr>
        <w:t>information et aucune conséquence juridique ne saurait en découler. Ce document peut contenir des informations et déclarations prospectives qui sont fondées sur des données et hypothèses économiques formulées dans un contexte économique, concurrentiel et réglementaire donné. Elles peuvent s</w:t>
      </w:r>
      <w:r w:rsidR="002E2363">
        <w:rPr>
          <w:rStyle w:val="Rfrenceple"/>
          <w:rFonts w:ascii="Arial" w:hAnsi="Arial"/>
          <w:i w:val="0"/>
          <w:iCs w:val="0"/>
          <w:sz w:val="20"/>
          <w:szCs w:val="20"/>
        </w:rPr>
        <w:t>’</w:t>
      </w:r>
      <w:r w:rsidRPr="238CF95E">
        <w:rPr>
          <w:rStyle w:val="Rfrenceple"/>
          <w:rFonts w:ascii="Arial" w:hAnsi="Arial"/>
          <w:i w:val="0"/>
          <w:iCs w:val="0"/>
          <w:sz w:val="20"/>
          <w:szCs w:val="20"/>
        </w:rPr>
        <w:t>avérer inexactes dans le futur et sont dépendantes de facteurs de risques. Ni TotalEnergies SE, ni Stellantis, ni Mercedes-Benz AG, ni aucune de ses filiales ne prennent l</w:t>
      </w:r>
      <w:r w:rsidR="002E2363">
        <w:rPr>
          <w:rStyle w:val="Rfrenceple"/>
          <w:rFonts w:ascii="Arial" w:hAnsi="Arial"/>
          <w:i w:val="0"/>
          <w:iCs w:val="0"/>
          <w:sz w:val="20"/>
          <w:szCs w:val="20"/>
        </w:rPr>
        <w:t>’</w:t>
      </w:r>
      <w:r w:rsidRPr="238CF95E">
        <w:rPr>
          <w:rStyle w:val="Rfrenceple"/>
          <w:rFonts w:ascii="Arial" w:hAnsi="Arial"/>
          <w:i w:val="0"/>
          <w:iCs w:val="0"/>
          <w:sz w:val="20"/>
          <w:szCs w:val="20"/>
        </w:rPr>
        <w:t>engagement ou la responsabilité vis-à-vis des investisseurs ou toute autre partie prenante de mettre à jour ou de réviser, en particulier en raison d</w:t>
      </w:r>
      <w:r w:rsidR="002E2363">
        <w:rPr>
          <w:rStyle w:val="Rfrenceple"/>
          <w:rFonts w:ascii="Arial" w:hAnsi="Arial"/>
          <w:i w:val="0"/>
          <w:iCs w:val="0"/>
          <w:sz w:val="20"/>
          <w:szCs w:val="20"/>
        </w:rPr>
        <w:t>’</w:t>
      </w:r>
      <w:r w:rsidRPr="238CF95E">
        <w:rPr>
          <w:rStyle w:val="Rfrenceple"/>
          <w:rFonts w:ascii="Arial" w:hAnsi="Arial"/>
          <w:i w:val="0"/>
          <w:iCs w:val="0"/>
          <w:sz w:val="20"/>
          <w:szCs w:val="20"/>
        </w:rPr>
        <w:t>informations nouvelles ou événements futurs, tout ou partie des déclarations, informations prospectives, tendances ou objectifs contenus dans ce document.</w:t>
      </w:r>
    </w:p>
    <w:p w14:paraId="372AD311" w14:textId="00258B6C" w:rsidR="00A015E6" w:rsidRDefault="00A015E6" w:rsidP="007E1826">
      <w:pPr>
        <w:spacing w:before="100" w:beforeAutospacing="1" w:after="100" w:afterAutospacing="1"/>
        <w:rPr>
          <w:rFonts w:ascii="Arial" w:hAnsi="Arial" w:cs="Arial"/>
          <w:b/>
          <w:bCs/>
          <w:lang w:val="de-DE"/>
        </w:rPr>
      </w:pPr>
    </w:p>
    <w:p w14:paraId="4AA99825" w14:textId="4FEC4BF5" w:rsidR="007E1826" w:rsidRDefault="007E1826" w:rsidP="007E1826">
      <w:pPr>
        <w:spacing w:before="100" w:beforeAutospacing="1" w:after="100" w:afterAutospacing="1"/>
        <w:rPr>
          <w:lang w:val="de-DE"/>
        </w:rPr>
      </w:pPr>
      <w:r>
        <w:rPr>
          <w:rFonts w:ascii="Arial" w:hAnsi="Arial" w:cs="Arial"/>
          <w:b/>
          <w:bCs/>
          <w:lang w:val="de-DE"/>
        </w:rPr>
        <w:lastRenderedPageBreak/>
        <w:t>Declarations Prospectives</w:t>
      </w:r>
    </w:p>
    <w:p w14:paraId="2C68E01C" w14:textId="667C1DF2" w:rsidR="00453AD7" w:rsidRDefault="007E1826" w:rsidP="007E1826">
      <w:pPr>
        <w:rPr>
          <w:lang w:val="de-DE"/>
        </w:rPr>
      </w:pPr>
      <w:r>
        <w:rPr>
          <w:lang w:val="de-DE"/>
        </w:rPr>
        <w:t>Cette communication contient des déclarations prospectives. En particulier, les énoncés concernant les événements futurs et les résultats prévus des opérations, les stratégies d</w:t>
      </w:r>
      <w:r w:rsidR="002E2363">
        <w:rPr>
          <w:lang w:val="de-DE"/>
        </w:rPr>
        <w:t>’</w:t>
      </w:r>
      <w:r>
        <w:rPr>
          <w:lang w:val="de-DE"/>
        </w:rPr>
        <w:t>entreprise, les avantages prévus de la transaction proposée, les résultats financiers et opérationnels futurs, la date de clôture prévue de la transaction proposée et d</w:t>
      </w:r>
      <w:r w:rsidR="002E2363">
        <w:rPr>
          <w:lang w:val="de-DE"/>
        </w:rPr>
        <w:t>’</w:t>
      </w:r>
      <w:r>
        <w:rPr>
          <w:lang w:val="de-DE"/>
        </w:rPr>
        <w:t>autres aspects prévus de nos opérations ou résultats opérationnels sont des énoncés prospectifs. Ces énoncés peuvent comprendre des termes tels que ““ peut “, “ va “, “ s</w:t>
      </w:r>
      <w:r w:rsidR="002E2363">
        <w:rPr>
          <w:lang w:val="de-DE"/>
        </w:rPr>
        <w:t>’</w:t>
      </w:r>
      <w:r>
        <w:rPr>
          <w:lang w:val="de-DE"/>
        </w:rPr>
        <w:t>attend “, “ pourrait “, “ devrait “, “ a l</w:t>
      </w:r>
      <w:r w:rsidR="002E2363">
        <w:rPr>
          <w:lang w:val="de-DE"/>
        </w:rPr>
        <w:t>’</w:t>
      </w:r>
      <w:r>
        <w:rPr>
          <w:lang w:val="de-DE"/>
        </w:rPr>
        <w:t>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w:t>
      </w:r>
      <w:r w:rsidR="002E2363">
        <w:rPr>
          <w:lang w:val="de-DE"/>
        </w:rPr>
        <w:t>’</w:t>
      </w:r>
      <w:r>
        <w:rPr>
          <w:lang w:val="de-DE"/>
        </w:rPr>
        <w:t>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w:t>
      </w:r>
      <w:r w:rsidR="002E2363">
        <w:rPr>
          <w:lang w:val="de-DE"/>
        </w:rPr>
        <w:t>’</w:t>
      </w:r>
      <w:r>
        <w:rPr>
          <w:lang w:val="de-DE"/>
        </w:rPr>
        <w:t>avenir et, par conséquent, il ne faut pas s</w:t>
      </w:r>
      <w:r w:rsidR="002E2363">
        <w:rPr>
          <w:lang w:val="de-DE"/>
        </w:rPr>
        <w:t>’</w:t>
      </w:r>
      <w:r>
        <w:rPr>
          <w:lang w:val="de-DE"/>
        </w:rPr>
        <w:t>en remettre indûment à eux.</w:t>
      </w:r>
      <w:r w:rsidR="00991520">
        <w:rPr>
          <w:lang w:val="de-DE"/>
        </w:rPr>
        <w:tab/>
      </w:r>
      <w:r>
        <w:rPr>
          <w:lang w:val="de-DE"/>
        </w:rPr>
        <w:br/>
      </w:r>
      <w:r>
        <w:rPr>
          <w:lang w:val="de-DE"/>
        </w:rPr>
        <w:br/>
        <w:t>Les résultats réels peuvent différer sensiblement de ceux exprimés dans les énoncés prospectifs en raison de divers facteurs, notamment : des incertitudes quant à la question de savoir si l</w:t>
      </w:r>
      <w:r w:rsidR="002E2363">
        <w:rPr>
          <w:lang w:val="de-DE"/>
        </w:rPr>
        <w:t>’</w:t>
      </w:r>
      <w:r>
        <w:rPr>
          <w:lang w:val="de-DE"/>
        </w:rPr>
        <w:t>opération envisagée examinée dans le présent document sera achevée ou quant au moment où elle aura lieu; la satisfaction des conditions préalables à la conclusion de la transaction proposée, y compris la possibilité d</w:t>
      </w:r>
      <w:r w:rsidR="002E2363">
        <w:rPr>
          <w:lang w:val="de-DE"/>
        </w:rPr>
        <w:t>’</w:t>
      </w:r>
      <w:r>
        <w:rPr>
          <w:lang w:val="de-DE"/>
        </w:rPr>
        <w:t>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w:t>
      </w:r>
      <w:r w:rsidR="002E2363">
        <w:rPr>
          <w:lang w:val="de-DE"/>
        </w:rPr>
        <w:t>’</w:t>
      </w:r>
      <w:r>
        <w:rPr>
          <w:lang w:val="de-DE"/>
        </w:rPr>
        <w:t>interruption de l</w:t>
      </w:r>
      <w:r w:rsidR="002E2363">
        <w:rPr>
          <w:lang w:val="de-DE"/>
        </w:rPr>
        <w:t>’</w:t>
      </w:r>
      <w:r>
        <w:rPr>
          <w:lang w:val="de-DE"/>
        </w:rPr>
        <w:t>activité après la transaction; l</w:t>
      </w:r>
      <w:r w:rsidR="002E2363">
        <w:rPr>
          <w:lang w:val="de-DE"/>
        </w:rPr>
        <w:t>’</w:t>
      </w:r>
      <w:r>
        <w:rPr>
          <w:lang w:val="de-DE"/>
        </w:rPr>
        <w:t>effet de l</w:t>
      </w:r>
      <w:r w:rsidR="002E2363">
        <w:rPr>
          <w:lang w:val="de-DE"/>
        </w:rPr>
        <w:t>’</w:t>
      </w:r>
      <w:r>
        <w:rPr>
          <w:lang w:val="de-DE"/>
        </w:rPr>
        <w:t>annonce de la transaction sur la capacité de la société à retenir et à embaucher du personnel clé et de maintenir des relations avec les clients, les fournisseurs et les autres partenaires avec lesquels la société exerce ses activités; l</w:t>
      </w:r>
      <w:r w:rsidR="002E2363">
        <w:rPr>
          <w:lang w:val="de-DE"/>
        </w:rPr>
        <w:t>’</w:t>
      </w:r>
      <w:r>
        <w:rPr>
          <w:lang w:val="de-DE"/>
        </w:rPr>
        <w:t>impact de la pandémie COVID-19, la capacité de Stellantis à lancer de nouveaux produits avec succès et à maintenir le volume des expéditions de véhicules; l</w:t>
      </w:r>
      <w:r w:rsidR="002E2363">
        <w:rPr>
          <w:lang w:val="de-DE"/>
        </w:rPr>
        <w:t>’</w:t>
      </w:r>
      <w:r>
        <w:rPr>
          <w:lang w:val="de-DE"/>
        </w:rPr>
        <w:t>évolution des marchés financiers mondiaux, l</w:t>
      </w:r>
      <w:r w:rsidR="002E2363">
        <w:rPr>
          <w:lang w:val="de-DE"/>
        </w:rPr>
        <w:t>’</w:t>
      </w:r>
      <w:r>
        <w:rPr>
          <w:lang w:val="de-DE"/>
        </w:rPr>
        <w:t>environnement économique général et l</w:t>
      </w:r>
      <w:r w:rsidR="002E2363">
        <w:rPr>
          <w:lang w:val="de-DE"/>
        </w:rPr>
        <w:t>’</w:t>
      </w:r>
      <w:r>
        <w:rPr>
          <w:lang w:val="de-DE"/>
        </w:rPr>
        <w:t>évolution de la demande de produits automobiles, qui sont soumis à un cycle conjoncturel; l</w:t>
      </w:r>
      <w:r w:rsidR="002E2363">
        <w:rPr>
          <w:lang w:val="de-DE"/>
        </w:rPr>
        <w:t>’</w:t>
      </w:r>
      <w:r>
        <w:rPr>
          <w:lang w:val="de-DE"/>
        </w:rPr>
        <w:t>évolution de la situation économique et politique locale, l</w:t>
      </w:r>
      <w:r w:rsidR="002E2363">
        <w:rPr>
          <w:lang w:val="de-DE"/>
        </w:rPr>
        <w:t>’</w:t>
      </w:r>
      <w:r>
        <w:rPr>
          <w:lang w:val="de-DE"/>
        </w:rPr>
        <w:t>évolution de la politique commerciale et l</w:t>
      </w:r>
      <w:r w:rsidR="002E2363">
        <w:rPr>
          <w:lang w:val="de-DE"/>
        </w:rPr>
        <w:t>’</w:t>
      </w:r>
      <w:r>
        <w:rPr>
          <w:lang w:val="de-DE"/>
        </w:rPr>
        <w:t>imposition de tarifs ou de tarifs mondiaux et régionaux destinés à l</w:t>
      </w:r>
      <w:r w:rsidR="002E2363">
        <w:rPr>
          <w:lang w:val="de-DE"/>
        </w:rPr>
        <w:t>’</w:t>
      </w:r>
      <w:r>
        <w:rPr>
          <w:lang w:val="de-DE"/>
        </w:rPr>
        <w:t>industrie automobile, l</w:t>
      </w:r>
      <w:r w:rsidR="002E2363">
        <w:rPr>
          <w:lang w:val="de-DE"/>
        </w:rPr>
        <w:t>’</w:t>
      </w:r>
      <w:r>
        <w:rPr>
          <w:lang w:val="de-DE"/>
        </w:rPr>
        <w:t>adoption de réformes fiscales ou d</w:t>
      </w:r>
      <w:r w:rsidR="002E2363">
        <w:rPr>
          <w:lang w:val="de-DE"/>
        </w:rPr>
        <w:t>’</w:t>
      </w:r>
      <w:r>
        <w:rPr>
          <w:lang w:val="de-DE"/>
        </w:rPr>
        <w:t>autres modifications des lois et règlements fiscaux; la capacité de Stellantis</w:t>
      </w:r>
      <w:r w:rsidR="002E2363">
        <w:rPr>
          <w:lang w:val="de-DE"/>
        </w:rPr>
        <w:t>’</w:t>
      </w:r>
      <w:r>
        <w:rPr>
          <w:lang w:val="de-DE"/>
        </w:rPr>
        <w:t xml:space="preserve"> à élargir certaines de leurs marques à l</w:t>
      </w:r>
      <w:r w:rsidR="002E2363">
        <w:rPr>
          <w:lang w:val="de-DE"/>
        </w:rPr>
        <w:t>’</w:t>
      </w:r>
      <w:r>
        <w:rPr>
          <w:lang w:val="de-DE"/>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2E2363">
        <w:rPr>
          <w:lang w:val="de-DE"/>
        </w:rPr>
        <w:t>’</w:t>
      </w:r>
      <w:r>
        <w:rPr>
          <w:lang w:val="de-DE"/>
        </w:rPr>
        <w:t>enquêtes gouvernementales et d</w:t>
      </w:r>
      <w:r w:rsidR="002E2363">
        <w:rPr>
          <w:lang w:val="de-DE"/>
        </w:rPr>
        <w:t>’</w:t>
      </w:r>
      <w:r>
        <w:rPr>
          <w:lang w:val="de-DE"/>
        </w:rPr>
        <w:t>autres imprévus, y compris les réclamations relatives à la responsabilité et à la garantie des produits et les réclamations relatives à l</w:t>
      </w:r>
      <w:r w:rsidR="002E2363">
        <w:rPr>
          <w:lang w:val="de-DE"/>
        </w:rPr>
        <w:t>’</w:t>
      </w:r>
      <w:r>
        <w:rPr>
          <w:lang w:val="de-DE"/>
        </w:rPr>
        <w:t>environnement, les enquêtes et les poursuites; les dépenses d</w:t>
      </w:r>
      <w:r w:rsidR="002E2363">
        <w:rPr>
          <w:lang w:val="de-DE"/>
        </w:rPr>
        <w:t>’</w:t>
      </w:r>
      <w:r>
        <w:rPr>
          <w:lang w:val="de-DE"/>
        </w:rPr>
        <w:t>exploitation des matériels en ce qui concerne le respect des règlements en matière d</w:t>
      </w:r>
      <w:r w:rsidR="002E2363">
        <w:rPr>
          <w:lang w:val="de-DE"/>
        </w:rPr>
        <w:t>’</w:t>
      </w:r>
      <w:r>
        <w:rPr>
          <w:lang w:val="de-DE"/>
        </w:rPr>
        <w:t>environnement, de santé et de sécurité; l</w:t>
      </w:r>
      <w:r w:rsidR="002E2363">
        <w:rPr>
          <w:lang w:val="de-DE"/>
        </w:rPr>
        <w:t>’</w:t>
      </w:r>
      <w:r>
        <w:rPr>
          <w:lang w:val="de-DE"/>
        </w:rPr>
        <w:t>intensité de la concurrence dans l</w:t>
      </w:r>
      <w:r w:rsidR="002E2363">
        <w:rPr>
          <w:lang w:val="de-DE"/>
        </w:rPr>
        <w:t>’</w:t>
      </w:r>
      <w:r>
        <w:rPr>
          <w:lang w:val="de-DE"/>
        </w:rPr>
        <w:t>industrie automobile, qui peut augmenter en raison de la consolidation; l</w:t>
      </w:r>
      <w:r w:rsidR="002E2363">
        <w:rPr>
          <w:lang w:val="de-DE"/>
        </w:rPr>
        <w:t>’</w:t>
      </w:r>
      <w:r>
        <w:rPr>
          <w:lang w:val="de-DE"/>
        </w:rPr>
        <w:t>exposition à des insuffisances dans le financement des régimes de retraite à prestations définies de Stellantis; la capacité de fournir ou d</w:t>
      </w:r>
      <w:r w:rsidR="002E2363">
        <w:rPr>
          <w:lang w:val="de-DE"/>
        </w:rPr>
        <w:t>’</w:t>
      </w:r>
      <w:r>
        <w:rPr>
          <w:lang w:val="de-DE"/>
        </w:rPr>
        <w:t>organiser l</w:t>
      </w:r>
      <w:r w:rsidR="002E2363">
        <w:rPr>
          <w:lang w:val="de-DE"/>
        </w:rPr>
        <w:t>’</w:t>
      </w:r>
      <w:r>
        <w:rPr>
          <w:lang w:val="de-DE"/>
        </w:rPr>
        <w:t>accès à un financement adéquat pour les concessionnaires et les clients de détail et les risques associés à la création et aux opérations de sociétés de services financiers; la possibilité d</w:t>
      </w:r>
      <w:r w:rsidR="002E2363">
        <w:rPr>
          <w:lang w:val="de-DE"/>
        </w:rPr>
        <w:t>’</w:t>
      </w:r>
      <w:r>
        <w:rPr>
          <w:lang w:val="de-DE"/>
        </w:rPr>
        <w:t>obtenir des financements pour exécuter les plans d</w:t>
      </w:r>
      <w:r w:rsidR="002E2363">
        <w:rPr>
          <w:lang w:val="de-DE"/>
        </w:rPr>
        <w:t>’</w:t>
      </w:r>
      <w:r>
        <w:rPr>
          <w:lang w:val="de-DE"/>
        </w:rPr>
        <w:t>entreprise  de Stellantis et améliorer ses activités, sa situation financière et ses résultats; un dysfonctionnement, une perturbation ou une atteinte à la sécurité affectant les systèmes de technologie de l</w:t>
      </w:r>
      <w:r w:rsidR="002E2363">
        <w:rPr>
          <w:lang w:val="de-DE"/>
        </w:rPr>
        <w:t>’</w:t>
      </w:r>
      <w:r>
        <w:rPr>
          <w:lang w:val="de-DE"/>
        </w:rPr>
        <w:t>information ou les systèmes de contrôle électronique contenus dans les véhicules de Stellantis; la capacité de Stellantis à exploiter les avantages escomptés des ententes de co-entreprise; les perturbations résultant de l</w:t>
      </w:r>
      <w:r w:rsidR="002E2363">
        <w:rPr>
          <w:lang w:val="de-DE"/>
        </w:rPr>
        <w:t>’</w:t>
      </w:r>
      <w:r>
        <w:rPr>
          <w:lang w:val="de-DE"/>
        </w:rPr>
        <w:t>instabilité politique, sociale et économique; les risques associés à nos relations avec les employés, les concessionnaires et les fournisseurs; l</w:t>
      </w:r>
      <w:r w:rsidR="002E2363">
        <w:rPr>
          <w:lang w:val="de-DE"/>
        </w:rPr>
        <w:t>’</w:t>
      </w:r>
      <w:r>
        <w:rPr>
          <w:lang w:val="de-DE"/>
        </w:rPr>
        <w:t>augmentation des coûts, l</w:t>
      </w:r>
      <w:r w:rsidR="002E2363">
        <w:rPr>
          <w:lang w:val="de-DE"/>
        </w:rPr>
        <w:t>’</w:t>
      </w:r>
      <w:r>
        <w:rPr>
          <w:lang w:val="de-DE"/>
        </w:rPr>
        <w:t>interruption de l</w:t>
      </w:r>
      <w:r w:rsidR="002E2363">
        <w:rPr>
          <w:lang w:val="de-DE"/>
        </w:rPr>
        <w:t>’</w:t>
      </w:r>
      <w:r>
        <w:rPr>
          <w:lang w:val="de-DE"/>
        </w:rPr>
        <w:t>approvisionnement ou la pénurie de matières premières, de pièces, de composants et de systèmes utilisés dans les véhicules de Stellantis; l</w:t>
      </w:r>
      <w:r w:rsidR="002E2363">
        <w:rPr>
          <w:lang w:val="de-DE"/>
        </w:rPr>
        <w:t>’</w:t>
      </w:r>
      <w:r>
        <w:rPr>
          <w:lang w:val="de-DE"/>
        </w:rPr>
        <w:t>évolution des relations du travail et l</w:t>
      </w:r>
      <w:r w:rsidR="002E2363">
        <w:rPr>
          <w:lang w:val="de-DE"/>
        </w:rPr>
        <w:t>’</w:t>
      </w:r>
      <w:r>
        <w:rPr>
          <w:lang w:val="de-DE"/>
        </w:rPr>
        <w:t>évolution du droit du travail applicable; fluctuations des taux de change, variations des taux d</w:t>
      </w:r>
      <w:r w:rsidR="002E2363">
        <w:rPr>
          <w:lang w:val="de-DE"/>
        </w:rPr>
        <w:t>’</w:t>
      </w:r>
      <w:r>
        <w:rPr>
          <w:lang w:val="de-DE"/>
        </w:rPr>
        <w:t>intérêt, risque de crédit et autres risques du marché; troubles politiques et civils; tremblements de terre ou autres catastrophes; et</w:t>
      </w:r>
      <w:r w:rsidR="00453AD7">
        <w:rPr>
          <w:lang w:val="de-DE"/>
        </w:rPr>
        <w:t xml:space="preserve"> autres risques et incertitudes</w:t>
      </w:r>
      <w:r>
        <w:rPr>
          <w:lang w:val="de-DE"/>
        </w:rPr>
        <w:t>.</w:t>
      </w:r>
    </w:p>
    <w:p w14:paraId="2EAA37FB" w14:textId="3BC0BFC0" w:rsidR="007E1826" w:rsidRPr="003868B3" w:rsidRDefault="007E1826" w:rsidP="007E1826">
      <w:pPr>
        <w:rPr>
          <w:rStyle w:val="Rfrenceple"/>
          <w:rFonts w:ascii="Arial" w:hAnsi="Arial" w:cs="Arial"/>
          <w:bCs/>
          <w:sz w:val="20"/>
          <w:szCs w:val="20"/>
        </w:rPr>
      </w:pPr>
      <w:r>
        <w:rPr>
          <w:lang w:val="de-DE"/>
        </w:rPr>
        <w:br/>
        <w:t>Toutes les déclarations prospectives contenues dans la présente communication ne sont valables qu</w:t>
      </w:r>
      <w:r w:rsidR="002E2363">
        <w:rPr>
          <w:lang w:val="de-DE"/>
        </w:rPr>
        <w:t>’</w:t>
      </w:r>
      <w:r>
        <w:rPr>
          <w:lang w:val="de-DE"/>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de l</w:t>
      </w:r>
      <w:r w:rsidR="002E2363">
        <w:rPr>
          <w:lang w:val="de-DE"/>
        </w:rPr>
        <w:t>’</w:t>
      </w:r>
      <w:r>
        <w:rPr>
          <w:lang w:val="de-DE"/>
        </w:rPr>
        <w:t>AFM et de la CONSOB.</w:t>
      </w:r>
    </w:p>
    <w:sectPr w:rsidR="007E1826" w:rsidRPr="003868B3" w:rsidSect="00A015E6">
      <w:headerReference w:type="first" r:id="rId15"/>
      <w:pgSz w:w="11906" w:h="16838"/>
      <w:pgMar w:top="162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EEE9" w14:textId="77777777" w:rsidR="008E0915" w:rsidRDefault="008E0915" w:rsidP="000C0E7E">
      <w:r>
        <w:separator/>
      </w:r>
    </w:p>
  </w:endnote>
  <w:endnote w:type="continuationSeparator" w:id="0">
    <w:p w14:paraId="63D3EAA3" w14:textId="77777777" w:rsidR="008E0915" w:rsidRDefault="008E0915" w:rsidP="000C0E7E">
      <w:r>
        <w:continuationSeparator/>
      </w:r>
    </w:p>
  </w:endnote>
  <w:endnote w:type="continuationNotice" w:id="1">
    <w:p w14:paraId="6F9B1DF7" w14:textId="77777777" w:rsidR="008E0915" w:rsidRDefault="008E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Rounded Light">
    <w:altName w:val="Calibri"/>
    <w:panose1 w:val="00000000000000000000"/>
    <w:charset w:val="00"/>
    <w:family w:val="modern"/>
    <w:notTrueType/>
    <w:pitch w:val="variable"/>
    <w:sig w:usb0="A000007F" w:usb1="0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8CFF" w14:textId="77777777" w:rsidR="008E0915" w:rsidRDefault="008E0915" w:rsidP="000C0E7E">
      <w:r>
        <w:separator/>
      </w:r>
    </w:p>
  </w:footnote>
  <w:footnote w:type="continuationSeparator" w:id="0">
    <w:p w14:paraId="39B6F2F6" w14:textId="77777777" w:rsidR="008E0915" w:rsidRDefault="008E0915" w:rsidP="000C0E7E">
      <w:r>
        <w:continuationSeparator/>
      </w:r>
    </w:p>
  </w:footnote>
  <w:footnote w:type="continuationNotice" w:id="1">
    <w:p w14:paraId="4CE6FC90" w14:textId="77777777" w:rsidR="008E0915" w:rsidRDefault="008E09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0209" w14:textId="188ABAA2" w:rsidR="00D44581" w:rsidRPr="00F6729D" w:rsidRDefault="00071179" w:rsidP="00F6729D">
    <w:pPr>
      <w:pStyle w:val="En-tte"/>
      <w:tabs>
        <w:tab w:val="left" w:pos="480"/>
      </w:tabs>
      <w:rPr>
        <w:rFonts w:ascii="Gotham Rounded Light" w:hAnsi="Gotham Rounded Light"/>
        <w:color w:val="497D91" w:themeColor="accent2"/>
        <w:sz w:val="32"/>
        <w:szCs w:val="32"/>
      </w:rPr>
    </w:pPr>
    <w:r w:rsidRPr="00F6729D">
      <w:rPr>
        <w:rFonts w:ascii="Gotham Rounded Light" w:hAnsi="Gotham Rounded Light"/>
        <w:noProof/>
        <w:color w:val="497D91" w:themeColor="accent2"/>
        <w:sz w:val="32"/>
        <w:szCs w:val="32"/>
        <w:lang w:eastAsia="fr-FR"/>
      </w:rPr>
      <w:drawing>
        <wp:anchor distT="0" distB="0" distL="114300" distR="114300" simplePos="0" relativeHeight="251660288" behindDoc="0" locked="0" layoutInCell="1" allowOverlap="1" wp14:anchorId="13275897" wp14:editId="32506ECA">
          <wp:simplePos x="0" y="0"/>
          <wp:positionH relativeFrom="column">
            <wp:posOffset>1567180</wp:posOffset>
          </wp:positionH>
          <wp:positionV relativeFrom="paragraph">
            <wp:posOffset>245110</wp:posOffset>
          </wp:positionV>
          <wp:extent cx="768350" cy="768350"/>
          <wp:effectExtent l="0" t="0" r="0" b="0"/>
          <wp:wrapTopAndBottom/>
          <wp:docPr id="2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page">
            <wp14:pctWidth>0</wp14:pctWidth>
          </wp14:sizeRelH>
          <wp14:sizeRelV relativeFrom="page">
            <wp14:pctHeight>0</wp14:pctHeight>
          </wp14:sizeRelV>
        </wp:anchor>
      </w:drawing>
    </w:r>
    <w:r w:rsidRPr="00F6729D">
      <w:rPr>
        <w:rFonts w:ascii="Gotham Rounded Light" w:hAnsi="Gotham Rounded Light"/>
        <w:noProof/>
        <w:color w:val="497D91" w:themeColor="accent2"/>
        <w:sz w:val="32"/>
        <w:szCs w:val="32"/>
        <w:lang w:eastAsia="fr-FR"/>
      </w:rPr>
      <w:drawing>
        <wp:anchor distT="0" distB="0" distL="114300" distR="114300" simplePos="0" relativeHeight="251661312" behindDoc="0" locked="0" layoutInCell="1" allowOverlap="1" wp14:anchorId="76372889" wp14:editId="01CFD86A">
          <wp:simplePos x="0" y="0"/>
          <wp:positionH relativeFrom="margin">
            <wp:align>left</wp:align>
          </wp:positionH>
          <wp:positionV relativeFrom="paragraph">
            <wp:posOffset>452755</wp:posOffset>
          </wp:positionV>
          <wp:extent cx="852805" cy="453390"/>
          <wp:effectExtent l="0" t="0" r="4445" b="3810"/>
          <wp:wrapTopAndBottom/>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2805" cy="453390"/>
                  </a:xfrm>
                  <a:prstGeom prst="rect">
                    <a:avLst/>
                  </a:prstGeom>
                </pic:spPr>
              </pic:pic>
            </a:graphicData>
          </a:graphic>
          <wp14:sizeRelH relativeFrom="page">
            <wp14:pctWidth>0</wp14:pctWidth>
          </wp14:sizeRelH>
          <wp14:sizeRelV relativeFrom="page">
            <wp14:pctHeight>0</wp14:pctHeight>
          </wp14:sizeRelV>
        </wp:anchor>
      </w:drawing>
    </w:r>
    <w:r w:rsidRPr="00F6729D">
      <w:rPr>
        <w:rFonts w:ascii="Gotham Rounded Light" w:hAnsi="Gotham Rounded Light"/>
        <w:noProof/>
        <w:color w:val="497D91" w:themeColor="accent2"/>
        <w:sz w:val="32"/>
        <w:szCs w:val="32"/>
        <w:lang w:eastAsia="fr-FR"/>
      </w:rPr>
      <w:drawing>
        <wp:anchor distT="0" distB="0" distL="114300" distR="114300" simplePos="0" relativeHeight="251659264" behindDoc="0" locked="0" layoutInCell="1" allowOverlap="1" wp14:anchorId="4CF70C14" wp14:editId="6FDA2E5E">
          <wp:simplePos x="0" y="0"/>
          <wp:positionH relativeFrom="margin">
            <wp:posOffset>4961890</wp:posOffset>
          </wp:positionH>
          <wp:positionV relativeFrom="paragraph">
            <wp:posOffset>180340</wp:posOffset>
          </wp:positionV>
          <wp:extent cx="1083310" cy="852805"/>
          <wp:effectExtent l="0" t="0" r="0" b="0"/>
          <wp:wrapNone/>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31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29D">
      <w:rPr>
        <w:rFonts w:ascii="Gotham Rounded Light" w:hAnsi="Gotham Rounded Light"/>
        <w:noProof/>
        <w:color w:val="497D91" w:themeColor="accent2"/>
        <w:sz w:val="32"/>
        <w:szCs w:val="32"/>
        <w:lang w:eastAsia="fr-FR"/>
      </w:rPr>
      <w:drawing>
        <wp:anchor distT="0" distB="0" distL="114300" distR="114300" simplePos="0" relativeHeight="251662336" behindDoc="0" locked="0" layoutInCell="1" allowOverlap="1" wp14:anchorId="50BC8696" wp14:editId="5DE6BD74">
          <wp:simplePos x="0" y="0"/>
          <wp:positionH relativeFrom="column">
            <wp:posOffset>2926080</wp:posOffset>
          </wp:positionH>
          <wp:positionV relativeFrom="paragraph">
            <wp:posOffset>399415</wp:posOffset>
          </wp:positionV>
          <wp:extent cx="1464945" cy="464185"/>
          <wp:effectExtent l="0" t="0" r="0" b="0"/>
          <wp:wrapTopAndBottom/>
          <wp:docPr id="2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4945" cy="464185"/>
                  </a:xfrm>
                  <a:prstGeom prst="rect">
                    <a:avLst/>
                  </a:prstGeom>
                </pic:spPr>
              </pic:pic>
            </a:graphicData>
          </a:graphic>
          <wp14:sizeRelH relativeFrom="page">
            <wp14:pctWidth>0</wp14:pctWidth>
          </wp14:sizeRelH>
          <wp14:sizeRelV relativeFrom="page">
            <wp14:pctHeight>0</wp14:pctHeight>
          </wp14:sizeRelV>
        </wp:anchor>
      </w:drawing>
    </w:r>
  </w:p>
  <w:p w14:paraId="75EF05D5" w14:textId="352ABA23" w:rsidR="00D44581" w:rsidRDefault="00D44581" w:rsidP="00D44581">
    <w:pPr>
      <w:pStyle w:val="En-tte"/>
    </w:pPr>
  </w:p>
  <w:p w14:paraId="4333A3CF" w14:textId="77777777" w:rsidR="00571B0B" w:rsidRDefault="00571B0B" w:rsidP="00D44581">
    <w:pPr>
      <w:pStyle w:val="En-tte"/>
    </w:pPr>
  </w:p>
  <w:p w14:paraId="6DBFB23D" w14:textId="77777777" w:rsidR="003858E3" w:rsidRPr="00D44581" w:rsidRDefault="00D44581" w:rsidP="00D44581">
    <w:pPr>
      <w:pStyle w:val="En-tte"/>
      <w:spacing w:after="360"/>
      <w:jc w:val="right"/>
      <w:rPr>
        <w:color w:val="374649"/>
        <w:sz w:val="44"/>
        <w:szCs w:val="44"/>
      </w:rPr>
    </w:pPr>
    <w:r>
      <w:rPr>
        <w:color w:val="374649"/>
        <w:sz w:val="32"/>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F8"/>
    <w:multiLevelType w:val="hybridMultilevel"/>
    <w:tmpl w:val="F1E45DE4"/>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1D63A7E"/>
    <w:multiLevelType w:val="hybridMultilevel"/>
    <w:tmpl w:val="8BD84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E0681"/>
    <w:multiLevelType w:val="hybridMultilevel"/>
    <w:tmpl w:val="62BE8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74EBF"/>
    <w:multiLevelType w:val="hybridMultilevel"/>
    <w:tmpl w:val="DD48C482"/>
    <w:lvl w:ilvl="0" w:tplc="5374F3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014101"/>
    <w:multiLevelType w:val="hybridMultilevel"/>
    <w:tmpl w:val="F5845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A6A4A"/>
    <w:multiLevelType w:val="hybridMultilevel"/>
    <w:tmpl w:val="ACE42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7C102B"/>
    <w:multiLevelType w:val="hybridMultilevel"/>
    <w:tmpl w:val="F944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D82B1F"/>
    <w:multiLevelType w:val="hybridMultilevel"/>
    <w:tmpl w:val="8D9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1"/>
    <w:rsid w:val="000069E9"/>
    <w:rsid w:val="0001548C"/>
    <w:rsid w:val="000253AD"/>
    <w:rsid w:val="0002542B"/>
    <w:rsid w:val="00027E2E"/>
    <w:rsid w:val="000512F1"/>
    <w:rsid w:val="00056CDC"/>
    <w:rsid w:val="00063DCA"/>
    <w:rsid w:val="00071179"/>
    <w:rsid w:val="00076B10"/>
    <w:rsid w:val="00081A0D"/>
    <w:rsid w:val="000A0377"/>
    <w:rsid w:val="000A5B73"/>
    <w:rsid w:val="000C02A5"/>
    <w:rsid w:val="000C0E7E"/>
    <w:rsid w:val="000D0A14"/>
    <w:rsid w:val="000E13CC"/>
    <w:rsid w:val="000F7B47"/>
    <w:rsid w:val="00110499"/>
    <w:rsid w:val="00117AFE"/>
    <w:rsid w:val="00121C57"/>
    <w:rsid w:val="00140083"/>
    <w:rsid w:val="001420CD"/>
    <w:rsid w:val="00152114"/>
    <w:rsid w:val="00154BBB"/>
    <w:rsid w:val="001611FD"/>
    <w:rsid w:val="001616CD"/>
    <w:rsid w:val="00174612"/>
    <w:rsid w:val="00183D94"/>
    <w:rsid w:val="00194032"/>
    <w:rsid w:val="00196953"/>
    <w:rsid w:val="001B4768"/>
    <w:rsid w:val="001C5533"/>
    <w:rsid w:val="001D1E81"/>
    <w:rsid w:val="001D7888"/>
    <w:rsid w:val="001F030F"/>
    <w:rsid w:val="001F4BE4"/>
    <w:rsid w:val="001F65AA"/>
    <w:rsid w:val="0022564E"/>
    <w:rsid w:val="00241C78"/>
    <w:rsid w:val="00283229"/>
    <w:rsid w:val="002C54B3"/>
    <w:rsid w:val="002C61CF"/>
    <w:rsid w:val="002E2363"/>
    <w:rsid w:val="003001FB"/>
    <w:rsid w:val="00303D87"/>
    <w:rsid w:val="00312433"/>
    <w:rsid w:val="00314158"/>
    <w:rsid w:val="00315A35"/>
    <w:rsid w:val="00332A20"/>
    <w:rsid w:val="00347F45"/>
    <w:rsid w:val="00357B88"/>
    <w:rsid w:val="003764D3"/>
    <w:rsid w:val="003858E3"/>
    <w:rsid w:val="003868B3"/>
    <w:rsid w:val="00393DF8"/>
    <w:rsid w:val="00393F5E"/>
    <w:rsid w:val="003B12F1"/>
    <w:rsid w:val="003D1827"/>
    <w:rsid w:val="003D5E94"/>
    <w:rsid w:val="00401196"/>
    <w:rsid w:val="00412108"/>
    <w:rsid w:val="004202F4"/>
    <w:rsid w:val="00434B0E"/>
    <w:rsid w:val="00436B38"/>
    <w:rsid w:val="00443F81"/>
    <w:rsid w:val="00453AD7"/>
    <w:rsid w:val="004545BB"/>
    <w:rsid w:val="0049045F"/>
    <w:rsid w:val="00496984"/>
    <w:rsid w:val="00496E0D"/>
    <w:rsid w:val="004A7397"/>
    <w:rsid w:val="004E46ED"/>
    <w:rsid w:val="004E4B9E"/>
    <w:rsid w:val="00500759"/>
    <w:rsid w:val="00505088"/>
    <w:rsid w:val="005256BD"/>
    <w:rsid w:val="00534C61"/>
    <w:rsid w:val="00545551"/>
    <w:rsid w:val="0055295D"/>
    <w:rsid w:val="005617B5"/>
    <w:rsid w:val="0056616E"/>
    <w:rsid w:val="00571B0B"/>
    <w:rsid w:val="00571D34"/>
    <w:rsid w:val="005745A0"/>
    <w:rsid w:val="00577113"/>
    <w:rsid w:val="0058691F"/>
    <w:rsid w:val="00587364"/>
    <w:rsid w:val="00591586"/>
    <w:rsid w:val="00594952"/>
    <w:rsid w:val="00596B93"/>
    <w:rsid w:val="00597B71"/>
    <w:rsid w:val="005A62CA"/>
    <w:rsid w:val="005C079F"/>
    <w:rsid w:val="005C412B"/>
    <w:rsid w:val="005D2AD9"/>
    <w:rsid w:val="005D3019"/>
    <w:rsid w:val="005E0003"/>
    <w:rsid w:val="005F0206"/>
    <w:rsid w:val="005F5EAE"/>
    <w:rsid w:val="005F7091"/>
    <w:rsid w:val="006039E1"/>
    <w:rsid w:val="00620B1D"/>
    <w:rsid w:val="00626490"/>
    <w:rsid w:val="006405A8"/>
    <w:rsid w:val="006425AC"/>
    <w:rsid w:val="006614D0"/>
    <w:rsid w:val="00664013"/>
    <w:rsid w:val="006757EC"/>
    <w:rsid w:val="00686C83"/>
    <w:rsid w:val="006A068A"/>
    <w:rsid w:val="006A1333"/>
    <w:rsid w:val="006B7EF6"/>
    <w:rsid w:val="006C20BA"/>
    <w:rsid w:val="006D487F"/>
    <w:rsid w:val="00711D79"/>
    <w:rsid w:val="00721299"/>
    <w:rsid w:val="00721AEA"/>
    <w:rsid w:val="00723817"/>
    <w:rsid w:val="00726F55"/>
    <w:rsid w:val="007309B9"/>
    <w:rsid w:val="007363CE"/>
    <w:rsid w:val="00746D66"/>
    <w:rsid w:val="007547AA"/>
    <w:rsid w:val="0075507D"/>
    <w:rsid w:val="00761FC0"/>
    <w:rsid w:val="00763CAA"/>
    <w:rsid w:val="00764C64"/>
    <w:rsid w:val="0078241F"/>
    <w:rsid w:val="00791D05"/>
    <w:rsid w:val="0079416F"/>
    <w:rsid w:val="007B0DAC"/>
    <w:rsid w:val="007B5467"/>
    <w:rsid w:val="007C092F"/>
    <w:rsid w:val="007E1826"/>
    <w:rsid w:val="007ED231"/>
    <w:rsid w:val="007F1578"/>
    <w:rsid w:val="007F4208"/>
    <w:rsid w:val="007F5C68"/>
    <w:rsid w:val="008331D2"/>
    <w:rsid w:val="00833CA0"/>
    <w:rsid w:val="008367F6"/>
    <w:rsid w:val="00845657"/>
    <w:rsid w:val="0086A20C"/>
    <w:rsid w:val="008700D1"/>
    <w:rsid w:val="008711E2"/>
    <w:rsid w:val="00872B96"/>
    <w:rsid w:val="00872FBF"/>
    <w:rsid w:val="008753D4"/>
    <w:rsid w:val="00875D06"/>
    <w:rsid w:val="00877635"/>
    <w:rsid w:val="00881FB7"/>
    <w:rsid w:val="00894125"/>
    <w:rsid w:val="00895D4F"/>
    <w:rsid w:val="008A0365"/>
    <w:rsid w:val="008B5037"/>
    <w:rsid w:val="008B6352"/>
    <w:rsid w:val="008C5CDE"/>
    <w:rsid w:val="008E0866"/>
    <w:rsid w:val="008E0915"/>
    <w:rsid w:val="008E70F7"/>
    <w:rsid w:val="008E752E"/>
    <w:rsid w:val="008F0583"/>
    <w:rsid w:val="008F7D21"/>
    <w:rsid w:val="00903D42"/>
    <w:rsid w:val="00913138"/>
    <w:rsid w:val="00935AB5"/>
    <w:rsid w:val="009415A0"/>
    <w:rsid w:val="0094389E"/>
    <w:rsid w:val="0096112C"/>
    <w:rsid w:val="00991520"/>
    <w:rsid w:val="009948A9"/>
    <w:rsid w:val="009A0249"/>
    <w:rsid w:val="009A7323"/>
    <w:rsid w:val="009E6443"/>
    <w:rsid w:val="00A015E6"/>
    <w:rsid w:val="00A06EC0"/>
    <w:rsid w:val="00A35519"/>
    <w:rsid w:val="00A41F05"/>
    <w:rsid w:val="00A479F5"/>
    <w:rsid w:val="00A50B0E"/>
    <w:rsid w:val="00A52352"/>
    <w:rsid w:val="00A551CD"/>
    <w:rsid w:val="00A67EB7"/>
    <w:rsid w:val="00A74C2C"/>
    <w:rsid w:val="00A842DF"/>
    <w:rsid w:val="00A941B0"/>
    <w:rsid w:val="00A973F9"/>
    <w:rsid w:val="00AA0455"/>
    <w:rsid w:val="00AB18A3"/>
    <w:rsid w:val="00AB55C8"/>
    <w:rsid w:val="00AC0929"/>
    <w:rsid w:val="00AE716C"/>
    <w:rsid w:val="00B01CEE"/>
    <w:rsid w:val="00B12C44"/>
    <w:rsid w:val="00B23950"/>
    <w:rsid w:val="00B277DC"/>
    <w:rsid w:val="00B33B21"/>
    <w:rsid w:val="00B37650"/>
    <w:rsid w:val="00B4218E"/>
    <w:rsid w:val="00B47848"/>
    <w:rsid w:val="00B506DE"/>
    <w:rsid w:val="00B9464F"/>
    <w:rsid w:val="00BB4F36"/>
    <w:rsid w:val="00BB653C"/>
    <w:rsid w:val="00BC241B"/>
    <w:rsid w:val="00BC2474"/>
    <w:rsid w:val="00BC7763"/>
    <w:rsid w:val="00BD4E07"/>
    <w:rsid w:val="00BE156B"/>
    <w:rsid w:val="00BF78E9"/>
    <w:rsid w:val="00C061BF"/>
    <w:rsid w:val="00C07489"/>
    <w:rsid w:val="00C076BD"/>
    <w:rsid w:val="00C24FED"/>
    <w:rsid w:val="00C26173"/>
    <w:rsid w:val="00C26632"/>
    <w:rsid w:val="00C31485"/>
    <w:rsid w:val="00C475E1"/>
    <w:rsid w:val="00C74733"/>
    <w:rsid w:val="00C76535"/>
    <w:rsid w:val="00C81EE9"/>
    <w:rsid w:val="00C9702B"/>
    <w:rsid w:val="00CB603F"/>
    <w:rsid w:val="00CC4493"/>
    <w:rsid w:val="00CC47F6"/>
    <w:rsid w:val="00CD3887"/>
    <w:rsid w:val="00CD480F"/>
    <w:rsid w:val="00CE0976"/>
    <w:rsid w:val="00CE14DD"/>
    <w:rsid w:val="00CE54F1"/>
    <w:rsid w:val="00CF1D8F"/>
    <w:rsid w:val="00CF3075"/>
    <w:rsid w:val="00D00040"/>
    <w:rsid w:val="00D07418"/>
    <w:rsid w:val="00D307BC"/>
    <w:rsid w:val="00D43EC3"/>
    <w:rsid w:val="00D44581"/>
    <w:rsid w:val="00D44DAD"/>
    <w:rsid w:val="00D55B7B"/>
    <w:rsid w:val="00D661E2"/>
    <w:rsid w:val="00D6622B"/>
    <w:rsid w:val="00D82EE9"/>
    <w:rsid w:val="00D85804"/>
    <w:rsid w:val="00D9391C"/>
    <w:rsid w:val="00D9637B"/>
    <w:rsid w:val="00DD7DEC"/>
    <w:rsid w:val="00DE2AA0"/>
    <w:rsid w:val="00DF13BF"/>
    <w:rsid w:val="00DF1D03"/>
    <w:rsid w:val="00E12F73"/>
    <w:rsid w:val="00E159A5"/>
    <w:rsid w:val="00E1756B"/>
    <w:rsid w:val="00E208D9"/>
    <w:rsid w:val="00E25382"/>
    <w:rsid w:val="00E271E7"/>
    <w:rsid w:val="00E27976"/>
    <w:rsid w:val="00E542F4"/>
    <w:rsid w:val="00E579A3"/>
    <w:rsid w:val="00E6268E"/>
    <w:rsid w:val="00E72FD9"/>
    <w:rsid w:val="00E7510E"/>
    <w:rsid w:val="00E759B8"/>
    <w:rsid w:val="00E843D5"/>
    <w:rsid w:val="00E92637"/>
    <w:rsid w:val="00E94BBA"/>
    <w:rsid w:val="00E9721E"/>
    <w:rsid w:val="00EA6EB5"/>
    <w:rsid w:val="00EB1314"/>
    <w:rsid w:val="00EC21FD"/>
    <w:rsid w:val="00EC6115"/>
    <w:rsid w:val="00F02296"/>
    <w:rsid w:val="00F1479E"/>
    <w:rsid w:val="00F22F38"/>
    <w:rsid w:val="00F6729D"/>
    <w:rsid w:val="00F81D08"/>
    <w:rsid w:val="00F85BDE"/>
    <w:rsid w:val="00F95B1A"/>
    <w:rsid w:val="00FA7CE7"/>
    <w:rsid w:val="00FB4855"/>
    <w:rsid w:val="00FB5F67"/>
    <w:rsid w:val="00FC09A4"/>
    <w:rsid w:val="00FC637B"/>
    <w:rsid w:val="00FE002A"/>
    <w:rsid w:val="014676F8"/>
    <w:rsid w:val="01D13F50"/>
    <w:rsid w:val="02EAE1A0"/>
    <w:rsid w:val="04E6775A"/>
    <w:rsid w:val="0520FA42"/>
    <w:rsid w:val="062F5544"/>
    <w:rsid w:val="063E61B3"/>
    <w:rsid w:val="074C08E6"/>
    <w:rsid w:val="07F443FB"/>
    <w:rsid w:val="095D1106"/>
    <w:rsid w:val="0968D71E"/>
    <w:rsid w:val="0A251384"/>
    <w:rsid w:val="0AF8E167"/>
    <w:rsid w:val="0B33A49C"/>
    <w:rsid w:val="0C0B1409"/>
    <w:rsid w:val="0CA077E0"/>
    <w:rsid w:val="0D4AF2C3"/>
    <w:rsid w:val="0DC01A47"/>
    <w:rsid w:val="0E5DCC68"/>
    <w:rsid w:val="0E7E90A0"/>
    <w:rsid w:val="0EA4D34F"/>
    <w:rsid w:val="0ED48F6B"/>
    <w:rsid w:val="0EE447D9"/>
    <w:rsid w:val="1060F1D8"/>
    <w:rsid w:val="106996BF"/>
    <w:rsid w:val="119088C9"/>
    <w:rsid w:val="11D2BD31"/>
    <w:rsid w:val="12CF232B"/>
    <w:rsid w:val="139D78BA"/>
    <w:rsid w:val="13D6065C"/>
    <w:rsid w:val="13FE4AAD"/>
    <w:rsid w:val="14B33D8F"/>
    <w:rsid w:val="154109FB"/>
    <w:rsid w:val="15D46F59"/>
    <w:rsid w:val="166497DF"/>
    <w:rsid w:val="1797B0FD"/>
    <w:rsid w:val="17F1CB53"/>
    <w:rsid w:val="18999BC5"/>
    <w:rsid w:val="19172507"/>
    <w:rsid w:val="1A686B22"/>
    <w:rsid w:val="1B06717E"/>
    <w:rsid w:val="1BE76603"/>
    <w:rsid w:val="1BEB1710"/>
    <w:rsid w:val="1CD4A48E"/>
    <w:rsid w:val="1D4CBEBC"/>
    <w:rsid w:val="1DAB6E70"/>
    <w:rsid w:val="1DD0F0DE"/>
    <w:rsid w:val="1E3E1240"/>
    <w:rsid w:val="1E400D53"/>
    <w:rsid w:val="1E972F70"/>
    <w:rsid w:val="1ED53666"/>
    <w:rsid w:val="2033143E"/>
    <w:rsid w:val="20C8D702"/>
    <w:rsid w:val="21546459"/>
    <w:rsid w:val="2159ACFC"/>
    <w:rsid w:val="21E2E7F8"/>
    <w:rsid w:val="225A3C83"/>
    <w:rsid w:val="23096610"/>
    <w:rsid w:val="238CF95E"/>
    <w:rsid w:val="23CA3FAA"/>
    <w:rsid w:val="23F86C35"/>
    <w:rsid w:val="24D35668"/>
    <w:rsid w:val="258D16FA"/>
    <w:rsid w:val="26F758B1"/>
    <w:rsid w:val="26F7824D"/>
    <w:rsid w:val="2710AAAA"/>
    <w:rsid w:val="27381886"/>
    <w:rsid w:val="2747A73D"/>
    <w:rsid w:val="27CA1154"/>
    <w:rsid w:val="27EB007E"/>
    <w:rsid w:val="283686A7"/>
    <w:rsid w:val="28B843D8"/>
    <w:rsid w:val="28E3779E"/>
    <w:rsid w:val="2935F398"/>
    <w:rsid w:val="2971E080"/>
    <w:rsid w:val="2A2F230F"/>
    <w:rsid w:val="2A493A29"/>
    <w:rsid w:val="2A9654B8"/>
    <w:rsid w:val="2A978EDC"/>
    <w:rsid w:val="2AF8927E"/>
    <w:rsid w:val="2C263211"/>
    <w:rsid w:val="2CB3DDB5"/>
    <w:rsid w:val="2DAA223F"/>
    <w:rsid w:val="2E92D0FE"/>
    <w:rsid w:val="2E9A83A6"/>
    <w:rsid w:val="2F029432"/>
    <w:rsid w:val="2F2A020E"/>
    <w:rsid w:val="30079B31"/>
    <w:rsid w:val="3068C277"/>
    <w:rsid w:val="309068D4"/>
    <w:rsid w:val="30E329F9"/>
    <w:rsid w:val="31B1517D"/>
    <w:rsid w:val="31F5FB80"/>
    <w:rsid w:val="3238A272"/>
    <w:rsid w:val="34EAA186"/>
    <w:rsid w:val="35AC02AC"/>
    <w:rsid w:val="35BF9746"/>
    <w:rsid w:val="35D777D2"/>
    <w:rsid w:val="3645EDBC"/>
    <w:rsid w:val="3668A74E"/>
    <w:rsid w:val="36B21FE0"/>
    <w:rsid w:val="373E760C"/>
    <w:rsid w:val="375B67A7"/>
    <w:rsid w:val="37E1BE1D"/>
    <w:rsid w:val="389F38D6"/>
    <w:rsid w:val="389F58BA"/>
    <w:rsid w:val="39331F1F"/>
    <w:rsid w:val="3959BD8A"/>
    <w:rsid w:val="397FB98D"/>
    <w:rsid w:val="399C82EF"/>
    <w:rsid w:val="39A3C530"/>
    <w:rsid w:val="3AAF4EBF"/>
    <w:rsid w:val="3C241F07"/>
    <w:rsid w:val="3C642860"/>
    <w:rsid w:val="3DA9A5EE"/>
    <w:rsid w:val="3DC40999"/>
    <w:rsid w:val="3DCBF625"/>
    <w:rsid w:val="3E532AB0"/>
    <w:rsid w:val="3F560A72"/>
    <w:rsid w:val="40386792"/>
    <w:rsid w:val="409874D8"/>
    <w:rsid w:val="40CDC356"/>
    <w:rsid w:val="40CE2915"/>
    <w:rsid w:val="411D3431"/>
    <w:rsid w:val="41EB5CD3"/>
    <w:rsid w:val="41F60CE0"/>
    <w:rsid w:val="4248B5A9"/>
    <w:rsid w:val="42584644"/>
    <w:rsid w:val="42C3FC00"/>
    <w:rsid w:val="435E46D1"/>
    <w:rsid w:val="436A63D2"/>
    <w:rsid w:val="43891D38"/>
    <w:rsid w:val="4405C9D7"/>
    <w:rsid w:val="46A20494"/>
    <w:rsid w:val="47119789"/>
    <w:rsid w:val="477AE262"/>
    <w:rsid w:val="47D6DBCF"/>
    <w:rsid w:val="48405398"/>
    <w:rsid w:val="48A7FD9E"/>
    <w:rsid w:val="4A6457E9"/>
    <w:rsid w:val="4A72EF96"/>
    <w:rsid w:val="4B83C6C9"/>
    <w:rsid w:val="4C2495EB"/>
    <w:rsid w:val="4C7433DA"/>
    <w:rsid w:val="4C9340F4"/>
    <w:rsid w:val="4D349189"/>
    <w:rsid w:val="4E613973"/>
    <w:rsid w:val="4EA60D91"/>
    <w:rsid w:val="4EC4C88D"/>
    <w:rsid w:val="4F6305BA"/>
    <w:rsid w:val="4FC2872F"/>
    <w:rsid w:val="503C3F71"/>
    <w:rsid w:val="5058506E"/>
    <w:rsid w:val="506C324B"/>
    <w:rsid w:val="512BAC5F"/>
    <w:rsid w:val="52566E58"/>
    <w:rsid w:val="528B2C4F"/>
    <w:rsid w:val="52922A27"/>
    <w:rsid w:val="5361BE86"/>
    <w:rsid w:val="5410D906"/>
    <w:rsid w:val="54624E4F"/>
    <w:rsid w:val="55076F80"/>
    <w:rsid w:val="55D40556"/>
    <w:rsid w:val="5680A566"/>
    <w:rsid w:val="576EC338"/>
    <w:rsid w:val="57AE20DF"/>
    <w:rsid w:val="57C2E5CC"/>
    <w:rsid w:val="593030DE"/>
    <w:rsid w:val="5A157C27"/>
    <w:rsid w:val="5A318FAC"/>
    <w:rsid w:val="5B9AED2D"/>
    <w:rsid w:val="5CE1456B"/>
    <w:rsid w:val="5CF7FB94"/>
    <w:rsid w:val="5D9B93B7"/>
    <w:rsid w:val="5E8BB74B"/>
    <w:rsid w:val="5FAEED71"/>
    <w:rsid w:val="61CE4CC2"/>
    <w:rsid w:val="62843C03"/>
    <w:rsid w:val="6386964A"/>
    <w:rsid w:val="63AF3D33"/>
    <w:rsid w:val="65E48B9F"/>
    <w:rsid w:val="65F1CA67"/>
    <w:rsid w:val="662F2FE6"/>
    <w:rsid w:val="66A1BDE5"/>
    <w:rsid w:val="66B2EC8C"/>
    <w:rsid w:val="66C3059E"/>
    <w:rsid w:val="66FD5C5A"/>
    <w:rsid w:val="676AE136"/>
    <w:rsid w:val="6841F021"/>
    <w:rsid w:val="685B722B"/>
    <w:rsid w:val="690B3A5E"/>
    <w:rsid w:val="6926A227"/>
    <w:rsid w:val="69282D84"/>
    <w:rsid w:val="6937A9BC"/>
    <w:rsid w:val="69B536DF"/>
    <w:rsid w:val="69D2D3C4"/>
    <w:rsid w:val="6B03D2F1"/>
    <w:rsid w:val="6C4E2CD7"/>
    <w:rsid w:val="6D246B91"/>
    <w:rsid w:val="6EB4EF26"/>
    <w:rsid w:val="6F952F8D"/>
    <w:rsid w:val="6FF8B487"/>
    <w:rsid w:val="71178F90"/>
    <w:rsid w:val="713FB3E8"/>
    <w:rsid w:val="72455CB4"/>
    <w:rsid w:val="72A6EB63"/>
    <w:rsid w:val="72F5BC79"/>
    <w:rsid w:val="737D85DC"/>
    <w:rsid w:val="74BB02A4"/>
    <w:rsid w:val="74DE1A7B"/>
    <w:rsid w:val="7780084E"/>
    <w:rsid w:val="7826C7A9"/>
    <w:rsid w:val="785B9F96"/>
    <w:rsid w:val="786EC198"/>
    <w:rsid w:val="7876B65F"/>
    <w:rsid w:val="78E1C33B"/>
    <w:rsid w:val="78E66001"/>
    <w:rsid w:val="79FB758F"/>
    <w:rsid w:val="7A248B54"/>
    <w:rsid w:val="7AE57073"/>
    <w:rsid w:val="7AE6962E"/>
    <w:rsid w:val="7B9C959E"/>
    <w:rsid w:val="7B9CCBF4"/>
    <w:rsid w:val="7CCE7169"/>
    <w:rsid w:val="7D032E28"/>
    <w:rsid w:val="7DD5071E"/>
    <w:rsid w:val="7E43ADF2"/>
    <w:rsid w:val="7FAF7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1E604"/>
  <w15:chartTrackingRefBased/>
  <w15:docId w15:val="{013E74A5-B92F-414D-A5E9-F26B7319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7E"/>
    <w:pPr>
      <w:jc w:val="both"/>
    </w:pPr>
    <w:rPr>
      <w:sz w:val="20"/>
      <w:szCs w:val="20"/>
    </w:rPr>
  </w:style>
  <w:style w:type="paragraph" w:styleId="Titre1">
    <w:name w:val="heading 1"/>
    <w:basedOn w:val="Normal"/>
    <w:next w:val="Normal"/>
    <w:link w:val="Titre1Car"/>
    <w:uiPriority w:val="9"/>
    <w:qFormat/>
    <w:rsid w:val="000C0E7E"/>
    <w:pPr>
      <w:outlineLvl w:val="0"/>
    </w:pPr>
    <w:rPr>
      <w:b/>
      <w:bCs/>
      <w:sz w:val="28"/>
      <w:szCs w:val="28"/>
    </w:rPr>
  </w:style>
  <w:style w:type="paragraph" w:styleId="Titre2">
    <w:name w:val="heading 2"/>
    <w:basedOn w:val="Normal"/>
    <w:next w:val="Normal"/>
    <w:link w:val="Titre2Car"/>
    <w:uiPriority w:val="9"/>
    <w:unhideWhenUsed/>
    <w:qFormat/>
    <w:rsid w:val="000C0E7E"/>
    <w:pPr>
      <w:spacing w:before="60" w:after="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basedOn w:val="Policepardfaut"/>
    <w:link w:val="Titre1"/>
    <w:uiPriority w:val="9"/>
    <w:rsid w:val="000C0E7E"/>
    <w:rPr>
      <w:b/>
      <w:bCs/>
      <w:sz w:val="28"/>
      <w:szCs w:val="28"/>
    </w:rPr>
  </w:style>
  <w:style w:type="character" w:customStyle="1" w:styleId="Titre2Car">
    <w:name w:val="Titre 2 Car"/>
    <w:basedOn w:val="Policepardfaut"/>
    <w:link w:val="Titre2"/>
    <w:uiPriority w:val="9"/>
    <w:rsid w:val="000C0E7E"/>
    <w:rPr>
      <w:b/>
      <w:bCs/>
      <w:sz w:val="20"/>
      <w:szCs w:val="20"/>
    </w:rPr>
  </w:style>
  <w:style w:type="character" w:styleId="Rfrenceple">
    <w:name w:val="Subtle Reference"/>
    <w:uiPriority w:val="31"/>
    <w:qFormat/>
    <w:rsid w:val="00F81D08"/>
    <w:rPr>
      <w:i/>
      <w:iCs/>
      <w:sz w:val="18"/>
      <w:szCs w:val="18"/>
    </w:rPr>
  </w:style>
  <w:style w:type="character" w:styleId="Lienhypertexte">
    <w:name w:val="Hyperlink"/>
    <w:basedOn w:val="Policepardfaut"/>
    <w:uiPriority w:val="99"/>
    <w:unhideWhenUsed/>
    <w:rsid w:val="00A67EB7"/>
    <w:rPr>
      <w:color w:val="285AFF" w:themeColor="hyperlink"/>
      <w:u w:val="single"/>
    </w:rPr>
  </w:style>
  <w:style w:type="character" w:customStyle="1" w:styleId="Mentionnonrsolue1">
    <w:name w:val="Mention non résolue1"/>
    <w:basedOn w:val="Policepardfaut"/>
    <w:uiPriority w:val="99"/>
    <w:semiHidden/>
    <w:unhideWhenUsed/>
    <w:rsid w:val="00A67EB7"/>
    <w:rPr>
      <w:color w:val="605E5C"/>
      <w:shd w:val="clear" w:color="auto" w:fill="E1DFDD"/>
    </w:rPr>
  </w:style>
  <w:style w:type="character" w:styleId="Lienhypertextesuivivisit">
    <w:name w:val="FollowedHyperlink"/>
    <w:basedOn w:val="Policepardfaut"/>
    <w:uiPriority w:val="99"/>
    <w:semiHidden/>
    <w:unhideWhenUsed/>
    <w:rsid w:val="008367F6"/>
    <w:rPr>
      <w:color w:val="2B506D" w:themeColor="followedHyperlink"/>
      <w:u w:val="single"/>
    </w:rPr>
  </w:style>
  <w:style w:type="paragraph" w:customStyle="1" w:styleId="paragraph">
    <w:name w:val="paragraph"/>
    <w:basedOn w:val="Normal"/>
    <w:rsid w:val="008700D1"/>
    <w:pPr>
      <w:spacing w:before="100" w:beforeAutospacing="1" w:after="100" w:afterAutospacing="1"/>
      <w:jc w:val="left"/>
    </w:pPr>
    <w:rPr>
      <w:rFonts w:ascii="Calibri" w:eastAsia="SimSun" w:hAnsi="Calibri" w:cs="Calibri"/>
      <w:sz w:val="22"/>
      <w:szCs w:val="22"/>
      <w:lang w:eastAsia="fr-FR"/>
    </w:rPr>
  </w:style>
  <w:style w:type="paragraph" w:styleId="Paragraphedeliste">
    <w:name w:val="List Paragraph"/>
    <w:aliases w:val="List Paragraph- Con,Bullet List,FooterText"/>
    <w:basedOn w:val="Normal"/>
    <w:link w:val="ParagraphedelisteCar"/>
    <w:uiPriority w:val="34"/>
    <w:qFormat/>
    <w:rsid w:val="008700D1"/>
    <w:pPr>
      <w:spacing w:after="160" w:line="259" w:lineRule="auto"/>
      <w:ind w:left="720"/>
      <w:contextualSpacing/>
      <w:jc w:val="left"/>
    </w:pPr>
    <w:rPr>
      <w:rFonts w:eastAsia="SimSun"/>
      <w:sz w:val="22"/>
      <w:szCs w:val="22"/>
    </w:rPr>
  </w:style>
  <w:style w:type="character" w:customStyle="1" w:styleId="ParagraphedelisteCar">
    <w:name w:val="Paragraphe de liste Car"/>
    <w:aliases w:val="List Paragraph- Con Car,Bullet List Car,FooterText Car"/>
    <w:link w:val="Paragraphedeliste"/>
    <w:uiPriority w:val="34"/>
    <w:locked/>
    <w:rsid w:val="008700D1"/>
    <w:rPr>
      <w:rFonts w:eastAsia="SimSun"/>
      <w:sz w:val="22"/>
      <w:szCs w:val="22"/>
    </w:rPr>
  </w:style>
  <w:style w:type="paragraph" w:styleId="Sansinterligne">
    <w:name w:val="No Spacing"/>
    <w:uiPriority w:val="1"/>
    <w:qFormat/>
    <w:rsid w:val="008700D1"/>
    <w:rPr>
      <w:rFonts w:eastAsia="SimSun"/>
      <w:sz w:val="22"/>
      <w:szCs w:val="22"/>
    </w:rPr>
  </w:style>
  <w:style w:type="character" w:customStyle="1" w:styleId="normaltextrun">
    <w:name w:val="normaltextrun"/>
    <w:basedOn w:val="Policepardfaut"/>
    <w:rsid w:val="008700D1"/>
  </w:style>
  <w:style w:type="character" w:styleId="lev">
    <w:name w:val="Strong"/>
    <w:basedOn w:val="Policepardfaut"/>
    <w:uiPriority w:val="22"/>
    <w:qFormat/>
    <w:rsid w:val="008700D1"/>
    <w:rPr>
      <w:b/>
      <w:bCs/>
    </w:rPr>
  </w:style>
  <w:style w:type="paragraph" w:styleId="Notedebasdepage">
    <w:name w:val="footnote text"/>
    <w:basedOn w:val="Normal"/>
    <w:link w:val="NotedebasdepageCar"/>
    <w:uiPriority w:val="99"/>
    <w:semiHidden/>
    <w:unhideWhenUsed/>
    <w:rsid w:val="00FB4855"/>
  </w:style>
  <w:style w:type="character" w:customStyle="1" w:styleId="NotedebasdepageCar">
    <w:name w:val="Note de bas de page Car"/>
    <w:basedOn w:val="Policepardfaut"/>
    <w:link w:val="Notedebasdepage"/>
    <w:uiPriority w:val="99"/>
    <w:semiHidden/>
    <w:rsid w:val="00FB4855"/>
    <w:rPr>
      <w:sz w:val="20"/>
      <w:szCs w:val="20"/>
    </w:rPr>
  </w:style>
  <w:style w:type="character" w:styleId="Appelnotedebasdep">
    <w:name w:val="footnote reference"/>
    <w:basedOn w:val="Policepardfaut"/>
    <w:uiPriority w:val="99"/>
    <w:semiHidden/>
    <w:unhideWhenUsed/>
    <w:rsid w:val="00FB4855"/>
    <w:rPr>
      <w:vertAlign w:val="superscript"/>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sid w:val="003D5E94"/>
    <w:rPr>
      <w:sz w:val="20"/>
      <w:szCs w:val="20"/>
    </w:rPr>
  </w:style>
  <w:style w:type="paragraph" w:styleId="Objetducommentaire">
    <w:name w:val="annotation subject"/>
    <w:basedOn w:val="Commentaire"/>
    <w:next w:val="Commentaire"/>
    <w:link w:val="ObjetducommentaireCar"/>
    <w:uiPriority w:val="99"/>
    <w:semiHidden/>
    <w:unhideWhenUsed/>
    <w:rsid w:val="003D5E94"/>
    <w:rPr>
      <w:b/>
      <w:bCs/>
    </w:rPr>
  </w:style>
  <w:style w:type="character" w:customStyle="1" w:styleId="ObjetducommentaireCar">
    <w:name w:val="Objet du commentaire Car"/>
    <w:basedOn w:val="CommentaireCar"/>
    <w:link w:val="Objetducommentaire"/>
    <w:uiPriority w:val="99"/>
    <w:semiHidden/>
    <w:rsid w:val="003D5E94"/>
    <w:rPr>
      <w:b/>
      <w:bCs/>
      <w:sz w:val="20"/>
      <w:szCs w:val="20"/>
    </w:rPr>
  </w:style>
  <w:style w:type="paragraph" w:customStyle="1" w:styleId="Default">
    <w:name w:val="Default"/>
    <w:rsid w:val="00935AB5"/>
    <w:pPr>
      <w:autoSpaceDE w:val="0"/>
      <w:autoSpaceDN w:val="0"/>
      <w:adjustRightInd w:val="0"/>
    </w:pPr>
    <w:rPr>
      <w:rFonts w:ascii="Arial" w:hAnsi="Arial" w:cs="Arial"/>
      <w:color w:val="000000"/>
    </w:rPr>
  </w:style>
  <w:style w:type="paragraph" w:styleId="Rvision">
    <w:name w:val="Revision"/>
    <w:hidden/>
    <w:uiPriority w:val="99"/>
    <w:semiHidden/>
    <w:rsid w:val="00875D06"/>
    <w:rPr>
      <w:sz w:val="20"/>
      <w:szCs w:val="20"/>
    </w:rPr>
  </w:style>
  <w:style w:type="paragraph" w:styleId="Textedebulles">
    <w:name w:val="Balloon Text"/>
    <w:basedOn w:val="Normal"/>
    <w:link w:val="TextedebullesCar"/>
    <w:uiPriority w:val="99"/>
    <w:semiHidden/>
    <w:unhideWhenUsed/>
    <w:rsid w:val="00D82EE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82E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6608">
      <w:bodyDiv w:val="1"/>
      <w:marLeft w:val="0"/>
      <w:marRight w:val="0"/>
      <w:marTop w:val="0"/>
      <w:marBottom w:val="0"/>
      <w:divBdr>
        <w:top w:val="none" w:sz="0" w:space="0" w:color="auto"/>
        <w:left w:val="none" w:sz="0" w:space="0" w:color="auto"/>
        <w:bottom w:val="none" w:sz="0" w:space="0" w:color="auto"/>
        <w:right w:val="none" w:sz="0" w:space="0" w:color="auto"/>
      </w:divBdr>
    </w:div>
    <w:div w:id="363361741">
      <w:bodyDiv w:val="1"/>
      <w:marLeft w:val="0"/>
      <w:marRight w:val="0"/>
      <w:marTop w:val="0"/>
      <w:marBottom w:val="0"/>
      <w:divBdr>
        <w:top w:val="none" w:sz="0" w:space="0" w:color="auto"/>
        <w:left w:val="none" w:sz="0" w:space="0" w:color="auto"/>
        <w:bottom w:val="none" w:sz="0" w:space="0" w:color="auto"/>
        <w:right w:val="none" w:sz="0" w:space="0" w:color="auto"/>
      </w:divBdr>
    </w:div>
    <w:div w:id="506947464">
      <w:bodyDiv w:val="1"/>
      <w:marLeft w:val="0"/>
      <w:marRight w:val="0"/>
      <w:marTop w:val="0"/>
      <w:marBottom w:val="0"/>
      <w:divBdr>
        <w:top w:val="none" w:sz="0" w:space="0" w:color="auto"/>
        <w:left w:val="none" w:sz="0" w:space="0" w:color="auto"/>
        <w:bottom w:val="none" w:sz="0" w:space="0" w:color="auto"/>
        <w:right w:val="none" w:sz="0" w:space="0" w:color="auto"/>
      </w:divBdr>
    </w:div>
    <w:div w:id="583416552">
      <w:bodyDiv w:val="1"/>
      <w:marLeft w:val="0"/>
      <w:marRight w:val="0"/>
      <w:marTop w:val="0"/>
      <w:marBottom w:val="0"/>
      <w:divBdr>
        <w:top w:val="none" w:sz="0" w:space="0" w:color="auto"/>
        <w:left w:val="none" w:sz="0" w:space="0" w:color="auto"/>
        <w:bottom w:val="none" w:sz="0" w:space="0" w:color="auto"/>
        <w:right w:val="none" w:sz="0" w:space="0" w:color="auto"/>
      </w:divBdr>
    </w:div>
    <w:div w:id="1103456481">
      <w:bodyDiv w:val="1"/>
      <w:marLeft w:val="0"/>
      <w:marRight w:val="0"/>
      <w:marTop w:val="0"/>
      <w:marBottom w:val="0"/>
      <w:divBdr>
        <w:top w:val="none" w:sz="0" w:space="0" w:color="auto"/>
        <w:left w:val="none" w:sz="0" w:space="0" w:color="auto"/>
        <w:bottom w:val="none" w:sz="0" w:space="0" w:color="auto"/>
        <w:right w:val="none" w:sz="0" w:space="0" w:color="auto"/>
      </w:divBdr>
    </w:div>
    <w:div w:id="1401366212">
      <w:bodyDiv w:val="1"/>
      <w:marLeft w:val="0"/>
      <w:marRight w:val="0"/>
      <w:marTop w:val="0"/>
      <w:marBottom w:val="0"/>
      <w:divBdr>
        <w:top w:val="none" w:sz="0" w:space="0" w:color="auto"/>
        <w:left w:val="none" w:sz="0" w:space="0" w:color="auto"/>
        <w:bottom w:val="none" w:sz="0" w:space="0" w:color="auto"/>
        <w:right w:val="none" w:sz="0" w:space="0" w:color="auto"/>
      </w:divBdr>
    </w:div>
    <w:div w:id="1921596097">
      <w:bodyDiv w:val="1"/>
      <w:marLeft w:val="0"/>
      <w:marRight w:val="0"/>
      <w:marTop w:val="0"/>
      <w:marBottom w:val="0"/>
      <w:divBdr>
        <w:top w:val="none" w:sz="0" w:space="0" w:color="auto"/>
        <w:left w:val="none" w:sz="0" w:space="0" w:color="auto"/>
        <w:bottom w:val="none" w:sz="0" w:space="0" w:color="auto"/>
        <w:right w:val="none" w:sz="0" w:space="0" w:color="auto"/>
      </w:divBdr>
    </w:div>
    <w:div w:id="2063821776">
      <w:bodyDiv w:val="1"/>
      <w:marLeft w:val="0"/>
      <w:marRight w:val="0"/>
      <w:marTop w:val="0"/>
      <w:marBottom w:val="0"/>
      <w:divBdr>
        <w:top w:val="none" w:sz="0" w:space="0" w:color="auto"/>
        <w:left w:val="none" w:sz="0" w:space="0" w:color="auto"/>
        <w:bottom w:val="none" w:sz="0" w:space="0" w:color="auto"/>
        <w:right w:val="none" w:sz="0" w:space="0" w:color="auto"/>
      </w:divBdr>
      <w:divsChild>
        <w:div w:id="1518807329">
          <w:marLeft w:val="0"/>
          <w:marRight w:val="0"/>
          <w:marTop w:val="0"/>
          <w:marBottom w:val="0"/>
          <w:divBdr>
            <w:top w:val="none" w:sz="0" w:space="0" w:color="auto"/>
            <w:left w:val="none" w:sz="0" w:space="0" w:color="auto"/>
            <w:bottom w:val="none" w:sz="0" w:space="0" w:color="auto"/>
            <w:right w:val="none" w:sz="0" w:space="0" w:color="auto"/>
          </w:divBdr>
        </w:div>
      </w:divsChild>
    </w:div>
    <w:div w:id="21377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totalenergi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ke.rombach@daiml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tbatteri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totalenergi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556A57732C6408AB181755BA5B504" ma:contentTypeVersion="8" ma:contentTypeDescription="Create a new document." ma:contentTypeScope="" ma:versionID="015af60258d46276ec3b8d7c1dd27e96">
  <xsd:schema xmlns:xsd="http://www.w3.org/2001/XMLSchema" xmlns:xs="http://www.w3.org/2001/XMLSchema" xmlns:p="http://schemas.microsoft.com/office/2006/metadata/properties" xmlns:ns2="8b4fa8db-1d63-49cb-8702-7053d758763a" targetNamespace="http://schemas.microsoft.com/office/2006/metadata/properties" ma:root="true" ma:fieldsID="8e497ba6dcd630e6cf5ee558cb38183d" ns2:_="">
    <xsd:import namespace="8b4fa8db-1d63-49cb-8702-7053d7587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a8db-1d63-49cb-8702-7053d7587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0E0B-20AE-4A37-A716-13131E497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a8db-1d63-49cb-8702-7053d758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3919E-CBE9-4A31-9BC6-01E926C34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6DDFC-AE9D-4EB6-94C7-F5AF391C29C8}">
  <ds:schemaRefs>
    <ds:schemaRef ds:uri="http://schemas.microsoft.com/sharepoint/v3/contenttype/forms"/>
  </ds:schemaRefs>
</ds:datastoreItem>
</file>

<file path=customXml/itemProps4.xml><?xml version="1.0" encoding="utf-8"?>
<ds:datastoreItem xmlns:ds="http://schemas.openxmlformats.org/officeDocument/2006/customXml" ds:itemID="{E442F224-776A-4391-8546-F5F566B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2601</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QUEVAL</dc:creator>
  <cp:keywords/>
  <dc:description/>
  <cp:lastModifiedBy>VALERIE GILLOT</cp:lastModifiedBy>
  <cp:revision>13</cp:revision>
  <cp:lastPrinted>2021-09-23T09:30:00Z</cp:lastPrinted>
  <dcterms:created xsi:type="dcterms:W3CDTF">2021-09-24T01:38:00Z</dcterms:created>
  <dcterms:modified xsi:type="dcterms:W3CDTF">2021-09-24T08:52:00Z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2021-09-14T12:59:58Z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a3f1defa-f754-442b-8caa-ab35b53ca888</vt:lpwstr>
  </property>
  <property fmtid="{D5CDD505-2E9C-101B-9397-08002B2CF9AE}" pid="8" name="MSIP_Label_a4593b6e-8994-43c5-a486-e951b5f02cec_ContentBits">
    <vt:lpwstr>0</vt:lpwstr>
  </property>
  <property fmtid="{D5CDD505-2E9C-101B-9397-08002B2CF9AE}" pid="9" name="MSIP_Label_61e3985f-f701-4a1c-a97f-401c0b5e51f9_Enabled">
    <vt:lpwstr>true</vt:lpwstr>
  </property>
  <property fmtid="{D5CDD505-2E9C-101B-9397-08002B2CF9AE}" pid="10" name="MSIP_Label_61e3985f-f701-4a1c-a97f-401c0b5e51f9_SetDate">
    <vt:lpwstr>2021-09-20T09:03:23Z</vt:lpwstr>
  </property>
  <property fmtid="{D5CDD505-2E9C-101B-9397-08002B2CF9AE}" pid="11" name="MSIP_Label_61e3985f-f701-4a1c-a97f-401c0b5e51f9_Method">
    <vt:lpwstr>Standard</vt:lpwstr>
  </property>
  <property fmtid="{D5CDD505-2E9C-101B-9397-08002B2CF9AE}" pid="12" name="MSIP_Label_61e3985f-f701-4a1c-a97f-401c0b5e51f9_Name">
    <vt:lpwstr>C2 - Restricted</vt:lpwstr>
  </property>
  <property fmtid="{D5CDD505-2E9C-101B-9397-08002B2CF9AE}" pid="13" name="MSIP_Label_61e3985f-f701-4a1c-a97f-401c0b5e51f9_SiteId">
    <vt:lpwstr>0f111499-fe47-4d09-9cbe-6a59b98c9107</vt:lpwstr>
  </property>
  <property fmtid="{D5CDD505-2E9C-101B-9397-08002B2CF9AE}" pid="14" name="MSIP_Label_61e3985f-f701-4a1c-a97f-401c0b5e51f9_ActionId">
    <vt:lpwstr>032b987e-e9f3-4a13-9204-d6d668c46eb3</vt:lpwstr>
  </property>
  <property fmtid="{D5CDD505-2E9C-101B-9397-08002B2CF9AE}" pid="15" name="MSIP_Label_61e3985f-f701-4a1c-a97f-401c0b5e51f9_ContentBits">
    <vt:lpwstr>0</vt:lpwstr>
  </property>
  <property fmtid="{D5CDD505-2E9C-101B-9397-08002B2CF9AE}" pid="16" name="ContentTypeId">
    <vt:lpwstr>0x0101004FB556A57732C6408AB181755BA5B504</vt:lpwstr>
  </property>
  <property fmtid="{D5CDD505-2E9C-101B-9397-08002B2CF9AE}" pid="17" name="MSIP_Label_2fd53d93-3f4c-4b90-b511-bd6bdbb4fba9_Enabled">
    <vt:lpwstr>true</vt:lpwstr>
  </property>
  <property fmtid="{D5CDD505-2E9C-101B-9397-08002B2CF9AE}" pid="18" name="MSIP_Label_2fd53d93-3f4c-4b90-b511-bd6bdbb4fba9_SetDate">
    <vt:lpwstr>2021-09-23T21:05:05Z</vt:lpwstr>
  </property>
  <property fmtid="{D5CDD505-2E9C-101B-9397-08002B2CF9AE}" pid="19" name="MSIP_Label_2fd53d93-3f4c-4b90-b511-bd6bdbb4fba9_Method">
    <vt:lpwstr>Standard</vt:lpwstr>
  </property>
  <property fmtid="{D5CDD505-2E9C-101B-9397-08002B2CF9AE}" pid="20" name="MSIP_Label_2fd53d93-3f4c-4b90-b511-bd6bdbb4fba9_Name">
    <vt:lpwstr>2fd53d93-3f4c-4b90-b511-bd6bdbb4fba9</vt:lpwstr>
  </property>
  <property fmtid="{D5CDD505-2E9C-101B-9397-08002B2CF9AE}" pid="21" name="MSIP_Label_2fd53d93-3f4c-4b90-b511-bd6bdbb4fba9_SiteId">
    <vt:lpwstr>d852d5cd-724c-4128-8812-ffa5db3f8507</vt:lpwstr>
  </property>
  <property fmtid="{D5CDD505-2E9C-101B-9397-08002B2CF9AE}" pid="22" name="MSIP_Label_2fd53d93-3f4c-4b90-b511-bd6bdbb4fba9_ActionId">
    <vt:lpwstr>f8e75b1c-e593-4e8d-9b27-2a39eca8ed1e</vt:lpwstr>
  </property>
  <property fmtid="{D5CDD505-2E9C-101B-9397-08002B2CF9AE}" pid="23" name="MSIP_Label_2fd53d93-3f4c-4b90-b511-bd6bdbb4fba9_ContentBits">
    <vt:lpwstr>0</vt:lpwstr>
  </property>
</Properties>
</file>