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6D" w:rsidRPr="0082786D" w:rsidRDefault="0086416D" w:rsidP="0002070C"/>
    <w:p w:rsidR="00EB6AB1" w:rsidRDefault="00EB6AB1" w:rsidP="00EB6AB1">
      <w:pPr>
        <w:spacing w:before="1800" w:after="480"/>
        <w:contextualSpacing/>
        <w:jc w:val="center"/>
        <w:rPr>
          <w:rFonts w:asciiTheme="majorHAnsi" w:hAnsiTheme="majorHAnsi"/>
          <w:bCs/>
          <w:noProof/>
          <w:color w:val="243782" w:themeColor="text2"/>
          <w:sz w:val="24"/>
          <w:szCs w:val="24"/>
          <w:lang w:val="en-US"/>
        </w:rPr>
      </w:pPr>
    </w:p>
    <w:p w:rsidR="00EB6AB1" w:rsidRDefault="00EB6AB1" w:rsidP="00EB6AB1">
      <w:pPr>
        <w:spacing w:before="1800" w:after="480"/>
        <w:contextualSpacing/>
        <w:jc w:val="center"/>
        <w:rPr>
          <w:rFonts w:asciiTheme="majorHAnsi" w:hAnsiTheme="majorHAnsi"/>
          <w:bCs/>
          <w:noProof/>
          <w:color w:val="243782" w:themeColor="text2"/>
          <w:sz w:val="24"/>
          <w:szCs w:val="24"/>
          <w:lang w:val="en-US"/>
        </w:rPr>
      </w:pPr>
    </w:p>
    <w:p w:rsidR="00EB6AB1" w:rsidRDefault="00EB6AB1" w:rsidP="00EB6AB1">
      <w:pPr>
        <w:spacing w:before="1800" w:after="480"/>
        <w:contextualSpacing/>
        <w:jc w:val="center"/>
        <w:rPr>
          <w:rFonts w:asciiTheme="majorHAnsi" w:hAnsiTheme="majorHAnsi"/>
          <w:bCs/>
          <w:noProof/>
          <w:color w:val="243782" w:themeColor="text2"/>
          <w:sz w:val="24"/>
          <w:szCs w:val="24"/>
          <w:lang w:val="en-US"/>
        </w:rPr>
      </w:pPr>
    </w:p>
    <w:p w:rsidR="00EB6AB1" w:rsidRDefault="00EB6AB1" w:rsidP="00EB6AB1">
      <w:pPr>
        <w:spacing w:before="1800" w:after="480"/>
        <w:contextualSpacing/>
        <w:jc w:val="center"/>
        <w:rPr>
          <w:rFonts w:asciiTheme="majorHAnsi" w:hAnsiTheme="majorHAnsi"/>
          <w:bCs/>
          <w:noProof/>
          <w:color w:val="243782" w:themeColor="text2"/>
          <w:sz w:val="24"/>
          <w:szCs w:val="24"/>
          <w:lang w:val="en-US"/>
        </w:rPr>
      </w:pPr>
    </w:p>
    <w:p w:rsidR="0004195C" w:rsidRDefault="00EB6AB1" w:rsidP="003C348E">
      <w:pPr>
        <w:spacing w:before="1800" w:after="480"/>
        <w:contextualSpacing/>
        <w:jc w:val="center"/>
        <w:rPr>
          <w:rFonts w:asciiTheme="majorHAnsi" w:hAnsiTheme="majorHAnsi"/>
          <w:bCs/>
          <w:noProof/>
          <w:color w:val="243782" w:themeColor="text2"/>
          <w:sz w:val="24"/>
          <w:szCs w:val="24"/>
        </w:rPr>
      </w:pPr>
      <w:r w:rsidRPr="00EB6AB1">
        <w:rPr>
          <w:rFonts w:asciiTheme="majorHAnsi" w:hAnsiTheme="majorHAnsi"/>
          <w:bCs/>
          <w:noProof/>
          <w:color w:val="243782" w:themeColor="text2"/>
          <w:sz w:val="24"/>
          <w:szCs w:val="24"/>
          <w:lang w:val="en-US"/>
        </w:rPr>
        <mc:AlternateContent>
          <mc:Choice Requires="wps">
            <w:drawing>
              <wp:anchor distT="0" distB="0" distL="114300" distR="114300" simplePos="0" relativeHeight="251660288" behindDoc="0" locked="1" layoutInCell="1" allowOverlap="1" wp14:anchorId="4BF545E4" wp14:editId="1B8710E0">
                <wp:simplePos x="0" y="0"/>
                <wp:positionH relativeFrom="margin">
                  <wp:posOffset>0</wp:posOffset>
                </wp:positionH>
                <wp:positionV relativeFrom="page">
                  <wp:posOffset>1691640</wp:posOffset>
                </wp:positionV>
                <wp:extent cx="429768" cy="64008"/>
                <wp:effectExtent l="0" t="0" r="8890" b="0"/>
                <wp:wrapNone/>
                <wp:docPr id="1"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rgbClr val="243782"/>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9264709" id="Freeform 27" o:spid="_x0000_s1026" style="position:absolute;margin-left:0;margin-top:133.2pt;width:33.85pt;height: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" path="m329,39l,39,27,,354,,329,39xe" fillcolor="#243782" stroked="f">
                <v:path arrowok="t" o:connecttype="custom" o:connectlocs="399417,64008;0,64008;32779,0;429768,0;399417,64008" o:connectangles="0,0,0,0,0"/>
                <w10:wrap anchorx="margin" anchory="page"/>
                <w10:anchorlock/>
              </v:shape>
            </w:pict>
          </mc:Fallback>
        </mc:AlternateContent>
      </w:r>
      <w:r w:rsidRPr="00976BFF">
        <w:rPr>
          <w:rFonts w:asciiTheme="majorHAnsi" w:hAnsiTheme="majorHAnsi"/>
          <w:bCs/>
          <w:noProof/>
          <w:color w:val="243782" w:themeColor="text2"/>
          <w:sz w:val="24"/>
          <w:szCs w:val="24"/>
        </w:rPr>
        <w:t xml:space="preserve">Stellantis </w:t>
      </w:r>
      <w:r w:rsidR="00976BFF" w:rsidRPr="00976BFF">
        <w:rPr>
          <w:rFonts w:asciiTheme="majorHAnsi" w:hAnsiTheme="majorHAnsi"/>
          <w:bCs/>
          <w:noProof/>
          <w:color w:val="243782" w:themeColor="text2"/>
          <w:sz w:val="24"/>
          <w:szCs w:val="24"/>
        </w:rPr>
        <w:t xml:space="preserve">annonce le lancement de </w:t>
      </w:r>
    </w:p>
    <w:p w:rsidR="00976BFF" w:rsidRPr="003C348E" w:rsidRDefault="00976BFF" w:rsidP="003C348E">
      <w:pPr>
        <w:spacing w:before="1800" w:after="480"/>
        <w:contextualSpacing/>
        <w:jc w:val="center"/>
        <w:rPr>
          <w:rFonts w:asciiTheme="majorHAnsi" w:hAnsiTheme="majorHAnsi"/>
          <w:bCs/>
          <w:noProof/>
          <w:color w:val="243782" w:themeColor="text2"/>
          <w:sz w:val="24"/>
          <w:szCs w:val="24"/>
        </w:rPr>
      </w:pPr>
      <w:r w:rsidRPr="003C348E">
        <w:rPr>
          <w:rFonts w:asciiTheme="majorHAnsi" w:hAnsiTheme="majorHAnsi"/>
          <w:bCs/>
          <w:noProof/>
          <w:color w:val="243782" w:themeColor="text2"/>
          <w:sz w:val="24"/>
          <w:szCs w:val="24"/>
        </w:rPr>
        <w:t>Stellantis &amp;</w:t>
      </w:r>
      <w:r w:rsidR="00E362EA">
        <w:rPr>
          <w:rFonts w:asciiTheme="majorHAnsi" w:hAnsiTheme="majorHAnsi"/>
          <w:bCs/>
          <w:noProof/>
          <w:color w:val="243782" w:themeColor="text2"/>
          <w:sz w:val="24"/>
          <w:szCs w:val="24"/>
        </w:rPr>
        <w:t xml:space="preserve"> </w:t>
      </w:r>
      <w:r w:rsidRPr="003C348E">
        <w:rPr>
          <w:rFonts w:asciiTheme="majorHAnsi" w:hAnsiTheme="majorHAnsi"/>
          <w:bCs/>
          <w:noProof/>
          <w:color w:val="243782" w:themeColor="text2"/>
          <w:sz w:val="24"/>
          <w:szCs w:val="24"/>
        </w:rPr>
        <w:t>You, Sales and Services</w:t>
      </w:r>
    </w:p>
    <w:p w:rsidR="00EB6AB1" w:rsidRPr="003C348E" w:rsidRDefault="00EB6AB1" w:rsidP="00EB6AB1">
      <w:pPr>
        <w:spacing w:after="240"/>
        <w:rPr>
          <w:sz w:val="24"/>
        </w:rPr>
      </w:pPr>
    </w:p>
    <w:p w:rsidR="00976BFF" w:rsidRPr="00976BFF" w:rsidRDefault="00976BFF" w:rsidP="00EB6AB1">
      <w:pPr>
        <w:numPr>
          <w:ilvl w:val="0"/>
          <w:numId w:val="11"/>
        </w:numPr>
        <w:spacing w:after="240"/>
        <w:ind w:left="794" w:hanging="227"/>
        <w:rPr>
          <w:rFonts w:asciiTheme="majorHAnsi" w:hAnsiTheme="majorHAnsi"/>
          <w:bCs/>
          <w:sz w:val="24"/>
        </w:rPr>
      </w:pPr>
      <w:r>
        <w:rPr>
          <w:rFonts w:asciiTheme="majorHAnsi" w:hAnsiTheme="majorHAnsi"/>
          <w:bCs/>
          <w:sz w:val="24"/>
        </w:rPr>
        <w:t>Un</w:t>
      </w:r>
      <w:r w:rsidRPr="00584D42">
        <w:rPr>
          <w:rFonts w:asciiTheme="majorHAnsi" w:hAnsiTheme="majorHAnsi"/>
          <w:bCs/>
          <w:sz w:val="24"/>
        </w:rPr>
        <w:t xml:space="preserve"> nouveau nom commercial</w:t>
      </w:r>
      <w:r>
        <w:rPr>
          <w:rFonts w:asciiTheme="majorHAnsi" w:hAnsiTheme="majorHAnsi"/>
          <w:bCs/>
          <w:sz w:val="24"/>
        </w:rPr>
        <w:t xml:space="preserve"> pour la filiale de </w:t>
      </w:r>
      <w:r w:rsidRPr="00584D42">
        <w:rPr>
          <w:rFonts w:asciiTheme="majorHAnsi" w:hAnsiTheme="majorHAnsi"/>
          <w:bCs/>
          <w:sz w:val="24"/>
        </w:rPr>
        <w:t>distribution de Stellantis</w:t>
      </w:r>
      <w:r w:rsidR="00661A87">
        <w:rPr>
          <w:rFonts w:asciiTheme="majorHAnsi" w:hAnsiTheme="majorHAnsi"/>
          <w:bCs/>
          <w:sz w:val="24"/>
        </w:rPr>
        <w:t xml:space="preserve"> en Europe et au Maroc.</w:t>
      </w:r>
    </w:p>
    <w:p w:rsidR="00661A87" w:rsidRPr="00F5330A" w:rsidRDefault="00E362EA" w:rsidP="00A6266B">
      <w:pPr>
        <w:numPr>
          <w:ilvl w:val="0"/>
          <w:numId w:val="11"/>
        </w:numPr>
        <w:spacing w:after="240"/>
        <w:ind w:left="794" w:hanging="227"/>
        <w:rPr>
          <w:sz w:val="24"/>
          <w:szCs w:val="18"/>
        </w:rPr>
      </w:pPr>
      <w:r>
        <w:rPr>
          <w:rFonts w:asciiTheme="majorHAnsi" w:hAnsiTheme="majorHAnsi"/>
          <w:bCs/>
          <w:sz w:val="24"/>
        </w:rPr>
        <w:t>Une n</w:t>
      </w:r>
      <w:r w:rsidR="00EB6AB1" w:rsidRPr="00976BFF">
        <w:rPr>
          <w:rFonts w:asciiTheme="majorHAnsi" w:hAnsiTheme="majorHAnsi"/>
          <w:bCs/>
          <w:sz w:val="24"/>
        </w:rPr>
        <w:t xml:space="preserve">ouvelle </w:t>
      </w:r>
      <w:proofErr w:type="spellStart"/>
      <w:r w:rsidR="00976BFF" w:rsidRPr="00976BFF">
        <w:rPr>
          <w:rFonts w:asciiTheme="majorHAnsi" w:hAnsiTheme="majorHAnsi"/>
          <w:bCs/>
          <w:sz w:val="24"/>
        </w:rPr>
        <w:t>market</w:t>
      </w:r>
      <w:proofErr w:type="spellEnd"/>
      <w:r w:rsidR="00976BFF" w:rsidRPr="00976BFF">
        <w:rPr>
          <w:rFonts w:asciiTheme="majorHAnsi" w:hAnsiTheme="majorHAnsi"/>
          <w:bCs/>
          <w:sz w:val="24"/>
        </w:rPr>
        <w:t xml:space="preserve"> place</w:t>
      </w:r>
      <w:r w:rsidR="00661A87">
        <w:rPr>
          <w:rFonts w:asciiTheme="majorHAnsi" w:hAnsiTheme="majorHAnsi"/>
          <w:bCs/>
          <w:sz w:val="24"/>
        </w:rPr>
        <w:t xml:space="preserve"> </w:t>
      </w:r>
      <w:r w:rsidR="00EB6AB1" w:rsidRPr="00976BFF">
        <w:rPr>
          <w:rFonts w:asciiTheme="majorHAnsi" w:hAnsiTheme="majorHAnsi"/>
          <w:bCs/>
          <w:sz w:val="24"/>
        </w:rPr>
        <w:t>pour amélio</w:t>
      </w:r>
      <w:r w:rsidR="00976BFF">
        <w:rPr>
          <w:rFonts w:asciiTheme="majorHAnsi" w:hAnsiTheme="majorHAnsi"/>
          <w:bCs/>
          <w:sz w:val="24"/>
        </w:rPr>
        <w:t>rer l’expérience client</w:t>
      </w:r>
      <w:r w:rsidR="00F5330A" w:rsidRPr="00F5330A">
        <w:rPr>
          <w:rFonts w:asciiTheme="majorHAnsi" w:hAnsiTheme="majorHAnsi"/>
          <w:bCs/>
          <w:sz w:val="24"/>
        </w:rPr>
        <w:t xml:space="preserve"> </w:t>
      </w:r>
      <w:r w:rsidR="00F5330A">
        <w:rPr>
          <w:rFonts w:asciiTheme="majorHAnsi" w:hAnsiTheme="majorHAnsi"/>
          <w:bCs/>
          <w:sz w:val="24"/>
        </w:rPr>
        <w:t>et accélérer le déploiement du e-commerce.</w:t>
      </w:r>
    </w:p>
    <w:p w:rsidR="00ED670D" w:rsidRDefault="00ED670D" w:rsidP="00661A87">
      <w:pPr>
        <w:spacing w:after="240"/>
        <w:rPr>
          <w:sz w:val="24"/>
          <w:szCs w:val="18"/>
        </w:rPr>
      </w:pPr>
    </w:p>
    <w:p w:rsidR="00EB6AB1" w:rsidRPr="00661A87" w:rsidRDefault="0004195C" w:rsidP="00661A87">
      <w:pPr>
        <w:spacing w:after="240"/>
        <w:rPr>
          <w:sz w:val="24"/>
          <w:szCs w:val="18"/>
        </w:rPr>
      </w:pPr>
      <w:bookmarkStart w:id="0" w:name="_GoBack"/>
      <w:bookmarkEnd w:id="0"/>
      <w:r w:rsidRPr="00661A87">
        <w:rPr>
          <w:sz w:val="24"/>
          <w:szCs w:val="18"/>
        </w:rPr>
        <w:t>AMSTERDAM</w:t>
      </w:r>
      <w:r w:rsidR="00EB6AB1" w:rsidRPr="00661A87">
        <w:rPr>
          <w:sz w:val="24"/>
          <w:szCs w:val="18"/>
        </w:rPr>
        <w:t xml:space="preserve">, </w:t>
      </w:r>
      <w:r w:rsidR="00FB262C" w:rsidRPr="00661A87">
        <w:rPr>
          <w:sz w:val="24"/>
          <w:szCs w:val="18"/>
        </w:rPr>
        <w:t>le 9 novembre 2021</w:t>
      </w:r>
      <w:r w:rsidR="00661A87">
        <w:rPr>
          <w:sz w:val="24"/>
          <w:szCs w:val="18"/>
        </w:rPr>
        <w:t xml:space="preserve"> </w:t>
      </w:r>
      <w:r w:rsidR="00EB6AB1" w:rsidRPr="00661A87">
        <w:rPr>
          <w:sz w:val="24"/>
          <w:szCs w:val="18"/>
        </w:rPr>
        <w:t xml:space="preserve">- </w:t>
      </w:r>
      <w:r w:rsidR="00661A87" w:rsidRPr="00661A87">
        <w:rPr>
          <w:sz w:val="24"/>
          <w:szCs w:val="18"/>
        </w:rPr>
        <w:t>Stellantis N.V. (NYSE/MTA/Euron</w:t>
      </w:r>
      <w:r w:rsidR="00661A87">
        <w:rPr>
          <w:sz w:val="24"/>
          <w:szCs w:val="18"/>
        </w:rPr>
        <w:t xml:space="preserve">ext </w:t>
      </w:r>
      <w:proofErr w:type="gramStart"/>
      <w:r w:rsidR="00661A87">
        <w:rPr>
          <w:sz w:val="24"/>
          <w:szCs w:val="18"/>
        </w:rPr>
        <w:t>Paris:</w:t>
      </w:r>
      <w:proofErr w:type="gramEnd"/>
      <w:r w:rsidR="00661A87">
        <w:rPr>
          <w:sz w:val="24"/>
          <w:szCs w:val="18"/>
        </w:rPr>
        <w:t xml:space="preserve"> STLA) (“Stellantis”) annonce le lancement de</w:t>
      </w:r>
      <w:r w:rsidR="00661A87" w:rsidRPr="00661A87">
        <w:rPr>
          <w:sz w:val="24"/>
          <w:szCs w:val="18"/>
        </w:rPr>
        <w:t xml:space="preserve"> </w:t>
      </w:r>
      <w:r w:rsidR="00EB6AB1" w:rsidRPr="00661A87">
        <w:rPr>
          <w:sz w:val="24"/>
          <w:szCs w:val="18"/>
        </w:rPr>
        <w:t>“Stellantis &amp;</w:t>
      </w:r>
      <w:r w:rsidR="00E362EA">
        <w:rPr>
          <w:sz w:val="24"/>
          <w:szCs w:val="18"/>
        </w:rPr>
        <w:t xml:space="preserve"> </w:t>
      </w:r>
      <w:r w:rsidR="00EB6AB1" w:rsidRPr="00661A87">
        <w:rPr>
          <w:sz w:val="24"/>
          <w:szCs w:val="18"/>
        </w:rPr>
        <w:t>You, Sales and Services”</w:t>
      </w:r>
      <w:r w:rsidR="00661A87">
        <w:rPr>
          <w:sz w:val="24"/>
          <w:szCs w:val="18"/>
        </w:rPr>
        <w:t>,</w:t>
      </w:r>
      <w:r w:rsidR="00FB262C" w:rsidRPr="00661A87">
        <w:rPr>
          <w:sz w:val="24"/>
          <w:szCs w:val="18"/>
        </w:rPr>
        <w:t xml:space="preserve"> le nouveau nom </w:t>
      </w:r>
      <w:r w:rsidR="00661A87">
        <w:rPr>
          <w:sz w:val="24"/>
          <w:szCs w:val="18"/>
        </w:rPr>
        <w:t xml:space="preserve">commercial </w:t>
      </w:r>
      <w:r w:rsidR="00FB262C" w:rsidRPr="00661A87">
        <w:rPr>
          <w:sz w:val="24"/>
          <w:szCs w:val="18"/>
        </w:rPr>
        <w:t>de la filiale de di</w:t>
      </w:r>
      <w:r w:rsidR="00661A87">
        <w:rPr>
          <w:sz w:val="24"/>
          <w:szCs w:val="18"/>
        </w:rPr>
        <w:t xml:space="preserve">stribution </w:t>
      </w:r>
      <w:r w:rsidR="00F5330A">
        <w:rPr>
          <w:sz w:val="24"/>
          <w:szCs w:val="18"/>
        </w:rPr>
        <w:t>de</w:t>
      </w:r>
      <w:r w:rsidR="00661A87">
        <w:rPr>
          <w:sz w:val="24"/>
          <w:szCs w:val="18"/>
        </w:rPr>
        <w:t xml:space="preserve"> Stellantis - </w:t>
      </w:r>
      <w:r w:rsidR="00661A87" w:rsidRPr="009C249E">
        <w:rPr>
          <w:sz w:val="24"/>
          <w:szCs w:val="18"/>
        </w:rPr>
        <w:t xml:space="preserve">issu de la fusion en février 2021 de PSA </w:t>
      </w:r>
      <w:proofErr w:type="spellStart"/>
      <w:r w:rsidR="00661A87" w:rsidRPr="009C249E">
        <w:rPr>
          <w:sz w:val="24"/>
          <w:szCs w:val="18"/>
        </w:rPr>
        <w:t>Retai</w:t>
      </w:r>
      <w:r w:rsidR="00661A87">
        <w:rPr>
          <w:sz w:val="24"/>
          <w:szCs w:val="18"/>
        </w:rPr>
        <w:t>l</w:t>
      </w:r>
      <w:proofErr w:type="spellEnd"/>
      <w:r w:rsidR="00661A87">
        <w:rPr>
          <w:sz w:val="24"/>
          <w:szCs w:val="18"/>
        </w:rPr>
        <w:t xml:space="preserve"> (division distribution de ex Groupe PSA</w:t>
      </w:r>
      <w:r w:rsidR="00661A87" w:rsidRPr="009C249E">
        <w:rPr>
          <w:sz w:val="24"/>
          <w:szCs w:val="18"/>
        </w:rPr>
        <w:t xml:space="preserve">) et de </w:t>
      </w:r>
      <w:proofErr w:type="spellStart"/>
      <w:r w:rsidR="00661A87" w:rsidRPr="009C249E">
        <w:rPr>
          <w:sz w:val="24"/>
          <w:szCs w:val="18"/>
        </w:rPr>
        <w:t>Motor</w:t>
      </w:r>
      <w:proofErr w:type="spellEnd"/>
      <w:r w:rsidR="00661A87" w:rsidRPr="009C249E">
        <w:rPr>
          <w:sz w:val="24"/>
          <w:szCs w:val="18"/>
        </w:rPr>
        <w:t xml:space="preserve"> Village (Division distribution de ex FCA Groupe).</w:t>
      </w:r>
    </w:p>
    <w:p w:rsidR="008F550D" w:rsidRDefault="009C249E" w:rsidP="00EB6AB1">
      <w:pPr>
        <w:spacing w:after="240"/>
        <w:rPr>
          <w:sz w:val="24"/>
          <w:szCs w:val="18"/>
        </w:rPr>
      </w:pPr>
      <w:r w:rsidRPr="009C249E">
        <w:rPr>
          <w:sz w:val="24"/>
          <w:szCs w:val="18"/>
        </w:rPr>
        <w:t>Un nouveau nom qui va renforcer le sentiment d’appartenance des 11 300 collaborateurs de Stellantis &amp;</w:t>
      </w:r>
      <w:r w:rsidR="00E362EA">
        <w:rPr>
          <w:sz w:val="24"/>
          <w:szCs w:val="18"/>
        </w:rPr>
        <w:t xml:space="preserve"> </w:t>
      </w:r>
      <w:r w:rsidRPr="009C249E">
        <w:rPr>
          <w:sz w:val="24"/>
          <w:szCs w:val="18"/>
        </w:rPr>
        <w:t>You, Sales and Services et contribuer à présenter sous une seule</w:t>
      </w:r>
      <w:r>
        <w:rPr>
          <w:sz w:val="24"/>
          <w:szCs w:val="18"/>
        </w:rPr>
        <w:t xml:space="preserve"> et ambitieuse </w:t>
      </w:r>
      <w:r w:rsidRPr="009C249E">
        <w:rPr>
          <w:sz w:val="24"/>
          <w:szCs w:val="18"/>
        </w:rPr>
        <w:t xml:space="preserve">bannière la force et l’offre spécifique de ce </w:t>
      </w:r>
      <w:r>
        <w:rPr>
          <w:sz w:val="24"/>
          <w:szCs w:val="18"/>
        </w:rPr>
        <w:t>r</w:t>
      </w:r>
      <w:r w:rsidRPr="009C249E">
        <w:rPr>
          <w:sz w:val="24"/>
          <w:szCs w:val="18"/>
        </w:rPr>
        <w:t>éseau</w:t>
      </w:r>
      <w:r>
        <w:rPr>
          <w:sz w:val="24"/>
          <w:szCs w:val="18"/>
        </w:rPr>
        <w:t>,</w:t>
      </w:r>
      <w:r w:rsidRPr="009C249E">
        <w:rPr>
          <w:sz w:val="24"/>
          <w:szCs w:val="18"/>
        </w:rPr>
        <w:t xml:space="preserve"> </w:t>
      </w:r>
      <w:r w:rsidR="008839F1">
        <w:rPr>
          <w:sz w:val="24"/>
          <w:szCs w:val="18"/>
        </w:rPr>
        <w:t>dans les 12</w:t>
      </w:r>
      <w:r>
        <w:rPr>
          <w:sz w:val="24"/>
          <w:szCs w:val="18"/>
        </w:rPr>
        <w:t xml:space="preserve"> pays où il opère (Europe et Maroc</w:t>
      </w:r>
      <w:r w:rsidR="008F550D">
        <w:rPr>
          <w:sz w:val="24"/>
          <w:szCs w:val="18"/>
        </w:rPr>
        <w:t>). *</w:t>
      </w:r>
      <w:r>
        <w:rPr>
          <w:sz w:val="24"/>
          <w:szCs w:val="18"/>
        </w:rPr>
        <w:t xml:space="preserve"> </w:t>
      </w:r>
    </w:p>
    <w:p w:rsidR="00EB6AB1" w:rsidRPr="00EB6AB1" w:rsidRDefault="009C249E" w:rsidP="00EB6AB1">
      <w:pPr>
        <w:spacing w:after="240"/>
        <w:rPr>
          <w:b/>
          <w:color w:val="1B2961" w:themeColor="text2" w:themeShade="BF"/>
          <w:sz w:val="24"/>
          <w:szCs w:val="18"/>
        </w:rPr>
      </w:pPr>
      <w:r w:rsidRPr="009C249E">
        <w:rPr>
          <w:b/>
          <w:color w:val="1B2961" w:themeColor="text2" w:themeShade="BF"/>
          <w:sz w:val="24"/>
          <w:szCs w:val="18"/>
        </w:rPr>
        <w:t>U</w:t>
      </w:r>
      <w:r w:rsidR="00430F20">
        <w:rPr>
          <w:b/>
          <w:color w:val="1B2961" w:themeColor="text2" w:themeShade="BF"/>
          <w:sz w:val="24"/>
          <w:szCs w:val="18"/>
        </w:rPr>
        <w:t>ne</w:t>
      </w:r>
      <w:r w:rsidRPr="009C249E">
        <w:rPr>
          <w:b/>
          <w:color w:val="1B2961" w:themeColor="text2" w:themeShade="BF"/>
          <w:sz w:val="24"/>
          <w:szCs w:val="18"/>
        </w:rPr>
        <w:t xml:space="preserve"> approche humaine pour un nom </w:t>
      </w:r>
      <w:proofErr w:type="spellStart"/>
      <w:r w:rsidRPr="009C249E">
        <w:rPr>
          <w:b/>
          <w:color w:val="1B2961" w:themeColor="text2" w:themeShade="BF"/>
          <w:sz w:val="24"/>
          <w:szCs w:val="18"/>
        </w:rPr>
        <w:t>aspirationnel</w:t>
      </w:r>
      <w:proofErr w:type="spellEnd"/>
    </w:p>
    <w:p w:rsidR="005774B1" w:rsidRDefault="00EB6AB1" w:rsidP="00EB6AB1">
      <w:pPr>
        <w:spacing w:after="240"/>
        <w:rPr>
          <w:sz w:val="24"/>
          <w:szCs w:val="18"/>
        </w:rPr>
      </w:pPr>
      <w:r w:rsidRPr="00EB6AB1">
        <w:rPr>
          <w:sz w:val="24"/>
          <w:szCs w:val="18"/>
        </w:rPr>
        <w:t>“Stellantis &amp;</w:t>
      </w:r>
      <w:r w:rsidR="00E362EA">
        <w:rPr>
          <w:sz w:val="24"/>
          <w:szCs w:val="18"/>
        </w:rPr>
        <w:t xml:space="preserve"> </w:t>
      </w:r>
      <w:r w:rsidRPr="00EB6AB1">
        <w:rPr>
          <w:sz w:val="24"/>
          <w:szCs w:val="18"/>
        </w:rPr>
        <w:t xml:space="preserve">You, Sales and Services” </w:t>
      </w:r>
      <w:r w:rsidR="005774B1">
        <w:rPr>
          <w:sz w:val="24"/>
          <w:szCs w:val="18"/>
        </w:rPr>
        <w:t>symbolise l’</w:t>
      </w:r>
      <w:r w:rsidR="009C249E" w:rsidRPr="009C249E">
        <w:rPr>
          <w:sz w:val="24"/>
          <w:szCs w:val="18"/>
        </w:rPr>
        <w:t>entité B2C du groupe Stellantis.</w:t>
      </w:r>
      <w:r w:rsidRPr="00EB6AB1">
        <w:rPr>
          <w:sz w:val="24"/>
          <w:szCs w:val="18"/>
        </w:rPr>
        <w:t xml:space="preserve"> </w:t>
      </w:r>
    </w:p>
    <w:p w:rsidR="00B70324" w:rsidRDefault="009C249E" w:rsidP="00EB6AB1">
      <w:pPr>
        <w:spacing w:after="240"/>
        <w:rPr>
          <w:sz w:val="24"/>
          <w:szCs w:val="18"/>
        </w:rPr>
      </w:pPr>
      <w:r w:rsidRPr="00B70324">
        <w:rPr>
          <w:sz w:val="24"/>
          <w:szCs w:val="18"/>
        </w:rPr>
        <w:t xml:space="preserve">Cela met également en lumière l’approche centrée sur l’humain </w:t>
      </w:r>
      <w:r w:rsidR="00B70324" w:rsidRPr="00B70324">
        <w:rPr>
          <w:sz w:val="24"/>
          <w:szCs w:val="18"/>
        </w:rPr>
        <w:t xml:space="preserve">que l’entité </w:t>
      </w:r>
      <w:r w:rsidR="005774B1">
        <w:rPr>
          <w:sz w:val="24"/>
          <w:szCs w:val="18"/>
        </w:rPr>
        <w:t xml:space="preserve">souhaite développer </w:t>
      </w:r>
      <w:r w:rsidR="00B70324" w:rsidRPr="00B70324">
        <w:rPr>
          <w:sz w:val="24"/>
          <w:szCs w:val="18"/>
        </w:rPr>
        <w:t xml:space="preserve">dans ses relations avec </w:t>
      </w:r>
      <w:r w:rsidR="005774B1">
        <w:rPr>
          <w:sz w:val="24"/>
          <w:szCs w:val="18"/>
        </w:rPr>
        <w:t>ses clients et ses collaborateurs</w:t>
      </w:r>
      <w:r w:rsidR="00B70324">
        <w:rPr>
          <w:sz w:val="24"/>
          <w:szCs w:val="18"/>
        </w:rPr>
        <w:t>, tant au travers des canaux physiques que digitaux.</w:t>
      </w:r>
    </w:p>
    <w:p w:rsidR="00B70324" w:rsidRPr="008F550D" w:rsidRDefault="00B70324" w:rsidP="00EB6AB1">
      <w:pPr>
        <w:spacing w:after="240"/>
        <w:rPr>
          <w:sz w:val="24"/>
          <w:szCs w:val="18"/>
        </w:rPr>
      </w:pPr>
      <w:r w:rsidRPr="00B70324">
        <w:rPr>
          <w:sz w:val="24"/>
          <w:szCs w:val="18"/>
        </w:rPr>
        <w:t>En choisissant ce nom</w:t>
      </w:r>
      <w:r w:rsidR="00EB6AB1" w:rsidRPr="00EB6AB1">
        <w:rPr>
          <w:sz w:val="24"/>
          <w:szCs w:val="18"/>
        </w:rPr>
        <w:t xml:space="preserve">, </w:t>
      </w:r>
      <w:r w:rsidR="00EB6AB1" w:rsidRPr="00EB6AB1">
        <w:rPr>
          <w:b/>
          <w:sz w:val="24"/>
          <w:szCs w:val="18"/>
        </w:rPr>
        <w:t>Stellantis &amp;</w:t>
      </w:r>
      <w:r w:rsidR="00E362EA">
        <w:rPr>
          <w:b/>
          <w:sz w:val="24"/>
          <w:szCs w:val="18"/>
        </w:rPr>
        <w:t xml:space="preserve"> </w:t>
      </w:r>
      <w:r w:rsidR="00EB6AB1" w:rsidRPr="00EB6AB1">
        <w:rPr>
          <w:b/>
          <w:sz w:val="24"/>
          <w:szCs w:val="18"/>
        </w:rPr>
        <w:t>You, Sales and Services</w:t>
      </w:r>
      <w:r w:rsidR="00EB6AB1" w:rsidRPr="00EB6AB1">
        <w:rPr>
          <w:sz w:val="24"/>
          <w:szCs w:val="18"/>
        </w:rPr>
        <w:t xml:space="preserve"> </w:t>
      </w:r>
      <w:r w:rsidRPr="00B70324">
        <w:rPr>
          <w:sz w:val="24"/>
          <w:szCs w:val="18"/>
        </w:rPr>
        <w:t>exprime sa volonté d’être le fer de lance de la distribution automobile partout où il opère</w:t>
      </w:r>
      <w:r>
        <w:rPr>
          <w:sz w:val="24"/>
          <w:szCs w:val="18"/>
        </w:rPr>
        <w:t>,</w:t>
      </w:r>
      <w:r w:rsidRPr="00B70324">
        <w:rPr>
          <w:sz w:val="24"/>
          <w:szCs w:val="18"/>
        </w:rPr>
        <w:t xml:space="preserve"> en</w:t>
      </w:r>
      <w:r>
        <w:rPr>
          <w:sz w:val="24"/>
          <w:szCs w:val="18"/>
        </w:rPr>
        <w:t xml:space="preserve"> s’imposant comme la référence en matière de qualité de service et en ouvrant la voie des innovations sectorielles.</w:t>
      </w:r>
      <w:r w:rsidRPr="00EB6AB1">
        <w:rPr>
          <w:sz w:val="24"/>
          <w:szCs w:val="18"/>
        </w:rPr>
        <w:t xml:space="preserve"> </w:t>
      </w:r>
    </w:p>
    <w:p w:rsidR="00EB6AB1" w:rsidRPr="00EB6AB1" w:rsidRDefault="005774B1" w:rsidP="00EB6AB1">
      <w:pPr>
        <w:spacing w:after="240"/>
        <w:rPr>
          <w:b/>
          <w:color w:val="1B2961" w:themeColor="text2" w:themeShade="BF"/>
          <w:sz w:val="24"/>
          <w:szCs w:val="18"/>
        </w:rPr>
      </w:pPr>
      <w:r>
        <w:rPr>
          <w:b/>
          <w:color w:val="1B2961" w:themeColor="text2" w:themeShade="BF"/>
          <w:sz w:val="24"/>
          <w:szCs w:val="18"/>
        </w:rPr>
        <w:t xml:space="preserve">Une </w:t>
      </w:r>
      <w:proofErr w:type="spellStart"/>
      <w:r>
        <w:rPr>
          <w:b/>
          <w:color w:val="1B2961" w:themeColor="text2" w:themeShade="BF"/>
          <w:sz w:val="24"/>
          <w:szCs w:val="18"/>
        </w:rPr>
        <w:t>market</w:t>
      </w:r>
      <w:proofErr w:type="spellEnd"/>
      <w:r>
        <w:rPr>
          <w:b/>
          <w:color w:val="1B2961" w:themeColor="text2" w:themeShade="BF"/>
          <w:sz w:val="24"/>
          <w:szCs w:val="18"/>
        </w:rPr>
        <w:t xml:space="preserve"> place</w:t>
      </w:r>
      <w:r w:rsidR="00EE1FA0" w:rsidRPr="00EE1FA0">
        <w:rPr>
          <w:b/>
          <w:color w:val="1B2961" w:themeColor="text2" w:themeShade="BF"/>
          <w:sz w:val="24"/>
          <w:szCs w:val="18"/>
        </w:rPr>
        <w:t xml:space="preserve"> à la pointe du savoir-faire </w:t>
      </w:r>
      <w:r w:rsidR="00EE1FA0">
        <w:rPr>
          <w:b/>
          <w:color w:val="1B2961" w:themeColor="text2" w:themeShade="BF"/>
          <w:sz w:val="24"/>
          <w:szCs w:val="18"/>
        </w:rPr>
        <w:t>digital</w:t>
      </w:r>
    </w:p>
    <w:p w:rsidR="00E76F50" w:rsidRPr="00E76F50" w:rsidRDefault="005774B1" w:rsidP="00EB6AB1">
      <w:pPr>
        <w:spacing w:after="240"/>
        <w:rPr>
          <w:sz w:val="24"/>
          <w:szCs w:val="18"/>
        </w:rPr>
      </w:pPr>
      <w:r>
        <w:rPr>
          <w:sz w:val="24"/>
          <w:szCs w:val="18"/>
        </w:rPr>
        <w:lastRenderedPageBreak/>
        <w:t xml:space="preserve">La transformation de la distribution automobile est en marche et, </w:t>
      </w:r>
      <w:r w:rsidR="00EE1FA0" w:rsidRPr="00EE1FA0">
        <w:rPr>
          <w:sz w:val="24"/>
          <w:szCs w:val="18"/>
        </w:rPr>
        <w:t xml:space="preserve">à ce titre, le développement </w:t>
      </w:r>
      <w:r w:rsidR="008271E0">
        <w:rPr>
          <w:sz w:val="24"/>
          <w:szCs w:val="18"/>
        </w:rPr>
        <w:t xml:space="preserve">d’un parcours client </w:t>
      </w:r>
      <w:proofErr w:type="spellStart"/>
      <w:r w:rsidR="008271E0">
        <w:rPr>
          <w:sz w:val="24"/>
          <w:szCs w:val="18"/>
        </w:rPr>
        <w:t>phygital</w:t>
      </w:r>
      <w:proofErr w:type="spellEnd"/>
      <w:r w:rsidR="008271E0">
        <w:rPr>
          <w:sz w:val="24"/>
          <w:szCs w:val="18"/>
        </w:rPr>
        <w:t xml:space="preserve"> à 360° est au cœur </w:t>
      </w:r>
      <w:r w:rsidR="00E76F50">
        <w:rPr>
          <w:sz w:val="24"/>
          <w:szCs w:val="18"/>
        </w:rPr>
        <w:t>du plan stratégique de Stellantis &amp;</w:t>
      </w:r>
      <w:r w:rsidR="00E362EA">
        <w:rPr>
          <w:sz w:val="24"/>
          <w:szCs w:val="18"/>
        </w:rPr>
        <w:t xml:space="preserve"> </w:t>
      </w:r>
      <w:r w:rsidR="00E76F50">
        <w:rPr>
          <w:sz w:val="24"/>
          <w:szCs w:val="18"/>
        </w:rPr>
        <w:t>You</w:t>
      </w:r>
      <w:r w:rsidR="008D44BB">
        <w:rPr>
          <w:sz w:val="24"/>
          <w:szCs w:val="18"/>
        </w:rPr>
        <w:t>,</w:t>
      </w:r>
      <w:r w:rsidR="00E76F50">
        <w:rPr>
          <w:sz w:val="24"/>
          <w:szCs w:val="18"/>
        </w:rPr>
        <w:t xml:space="preserve"> Sales and Services. </w:t>
      </w:r>
    </w:p>
    <w:p w:rsidR="00EB6AB1" w:rsidRPr="00EB6AB1" w:rsidRDefault="007E4C1F" w:rsidP="00EB6AB1">
      <w:pPr>
        <w:spacing w:after="240"/>
        <w:rPr>
          <w:sz w:val="24"/>
          <w:szCs w:val="18"/>
        </w:rPr>
      </w:pPr>
      <w:r w:rsidRPr="007E4C1F">
        <w:rPr>
          <w:sz w:val="24"/>
          <w:szCs w:val="18"/>
        </w:rPr>
        <w:t>Le nouveau site</w:t>
      </w:r>
      <w:r w:rsidR="00EB6AB1" w:rsidRPr="00EB6AB1">
        <w:rPr>
          <w:sz w:val="24"/>
          <w:szCs w:val="18"/>
        </w:rPr>
        <w:t xml:space="preserve"> </w:t>
      </w:r>
      <w:r w:rsidR="00EB6AB1" w:rsidRPr="00EB6AB1">
        <w:rPr>
          <w:color w:val="0070C0"/>
          <w:sz w:val="24"/>
          <w:szCs w:val="18"/>
        </w:rPr>
        <w:t>stellantisandyou.com</w:t>
      </w:r>
      <w:r w:rsidR="00EB6AB1" w:rsidRPr="00EB6AB1">
        <w:rPr>
          <w:sz w:val="24"/>
          <w:szCs w:val="18"/>
        </w:rPr>
        <w:t xml:space="preserve"> </w:t>
      </w:r>
      <w:r w:rsidR="00B8686A">
        <w:rPr>
          <w:sz w:val="24"/>
          <w:szCs w:val="18"/>
        </w:rPr>
        <w:t>a</w:t>
      </w:r>
      <w:r w:rsidR="00430F20">
        <w:rPr>
          <w:sz w:val="24"/>
          <w:szCs w:val="18"/>
        </w:rPr>
        <w:t xml:space="preserve"> la vocation de devenir</w:t>
      </w:r>
      <w:r w:rsidRPr="007E4C1F">
        <w:rPr>
          <w:sz w:val="24"/>
          <w:szCs w:val="18"/>
        </w:rPr>
        <w:t xml:space="preserve"> le “</w:t>
      </w:r>
      <w:r w:rsidRPr="007E4C1F">
        <w:rPr>
          <w:i/>
          <w:sz w:val="24"/>
          <w:szCs w:val="18"/>
        </w:rPr>
        <w:t>One-Stop-Shop</w:t>
      </w:r>
      <w:r w:rsidRPr="007E4C1F">
        <w:rPr>
          <w:sz w:val="24"/>
          <w:szCs w:val="18"/>
        </w:rPr>
        <w:t xml:space="preserve">” digital, où les clients trouveront l’ensemble de l’offre de Stellantis </w:t>
      </w:r>
      <w:r w:rsidR="00B8686A">
        <w:rPr>
          <w:sz w:val="24"/>
          <w:szCs w:val="18"/>
        </w:rPr>
        <w:t>&amp;</w:t>
      </w:r>
      <w:r w:rsidR="00E362EA">
        <w:rPr>
          <w:sz w:val="24"/>
          <w:szCs w:val="18"/>
        </w:rPr>
        <w:t xml:space="preserve"> </w:t>
      </w:r>
      <w:r w:rsidRPr="007E4C1F">
        <w:rPr>
          <w:sz w:val="24"/>
          <w:szCs w:val="18"/>
        </w:rPr>
        <w:t xml:space="preserve">You, Sales and </w:t>
      </w:r>
      <w:r w:rsidR="00527773">
        <w:rPr>
          <w:sz w:val="24"/>
          <w:szCs w:val="18"/>
        </w:rPr>
        <w:t xml:space="preserve">Services, </w:t>
      </w:r>
      <w:r w:rsidRPr="007E4C1F">
        <w:rPr>
          <w:sz w:val="24"/>
          <w:szCs w:val="18"/>
        </w:rPr>
        <w:t>couvrant les ven</w:t>
      </w:r>
      <w:r>
        <w:rPr>
          <w:sz w:val="24"/>
          <w:szCs w:val="18"/>
        </w:rPr>
        <w:t>tes de véhicules neufs, de véhi</w:t>
      </w:r>
      <w:r w:rsidRPr="007E4C1F">
        <w:rPr>
          <w:sz w:val="24"/>
          <w:szCs w:val="18"/>
        </w:rPr>
        <w:t>c</w:t>
      </w:r>
      <w:r>
        <w:rPr>
          <w:sz w:val="24"/>
          <w:szCs w:val="18"/>
        </w:rPr>
        <w:t>u</w:t>
      </w:r>
      <w:r w:rsidRPr="007E4C1F">
        <w:rPr>
          <w:sz w:val="24"/>
          <w:szCs w:val="18"/>
        </w:rPr>
        <w:t>les d’occasion</w:t>
      </w:r>
      <w:r w:rsidR="00A97846">
        <w:rPr>
          <w:sz w:val="24"/>
          <w:szCs w:val="18"/>
        </w:rPr>
        <w:t>, les services Après-Vente et de</w:t>
      </w:r>
      <w:r w:rsidR="005774B1">
        <w:rPr>
          <w:sz w:val="24"/>
          <w:szCs w:val="18"/>
        </w:rPr>
        <w:t xml:space="preserve"> location</w:t>
      </w:r>
      <w:r>
        <w:rPr>
          <w:sz w:val="24"/>
          <w:szCs w:val="18"/>
        </w:rPr>
        <w:t xml:space="preserve"> et ce, en quelques clics.</w:t>
      </w:r>
      <w:r w:rsidR="00EB6AB1" w:rsidRPr="00EB6AB1">
        <w:rPr>
          <w:sz w:val="24"/>
          <w:szCs w:val="18"/>
        </w:rPr>
        <w:t xml:space="preserve"> </w:t>
      </w:r>
    </w:p>
    <w:p w:rsidR="00EB6AB1" w:rsidRPr="00EB6AB1" w:rsidRDefault="00F81BAE" w:rsidP="00EB6AB1">
      <w:pPr>
        <w:spacing w:after="240"/>
        <w:rPr>
          <w:sz w:val="24"/>
          <w:szCs w:val="18"/>
        </w:rPr>
      </w:pPr>
      <w:r w:rsidRPr="00F81BAE">
        <w:rPr>
          <w:sz w:val="24"/>
          <w:szCs w:val="18"/>
        </w:rPr>
        <w:t>Il comprend également une fonction</w:t>
      </w:r>
      <w:r w:rsidR="00EE3FBB">
        <w:rPr>
          <w:sz w:val="24"/>
          <w:szCs w:val="18"/>
        </w:rPr>
        <w:t xml:space="preserve"> de e-Réservation sans couture et très simple</w:t>
      </w:r>
      <w:r w:rsidRPr="00F81BAE">
        <w:rPr>
          <w:sz w:val="24"/>
          <w:szCs w:val="18"/>
        </w:rPr>
        <w:t xml:space="preserve">. </w:t>
      </w:r>
      <w:r w:rsidR="00EE3FBB">
        <w:rPr>
          <w:sz w:val="24"/>
          <w:szCs w:val="18"/>
        </w:rPr>
        <w:t>Lancé</w:t>
      </w:r>
      <w:r w:rsidR="009F6D03">
        <w:rPr>
          <w:sz w:val="24"/>
          <w:szCs w:val="18"/>
        </w:rPr>
        <w:t>e</w:t>
      </w:r>
      <w:r w:rsidR="00EE3FBB">
        <w:rPr>
          <w:sz w:val="24"/>
          <w:szCs w:val="18"/>
        </w:rPr>
        <w:t xml:space="preserve"> en France à dater du 25</w:t>
      </w:r>
      <w:r w:rsidR="00430F20">
        <w:rPr>
          <w:sz w:val="24"/>
          <w:szCs w:val="18"/>
        </w:rPr>
        <w:t xml:space="preserve"> novembre 2021, cette fonction sera ensuite progressivement déployée dans l’ensemble des pays.</w:t>
      </w:r>
    </w:p>
    <w:p w:rsidR="00B246BF" w:rsidRDefault="00E121B5" w:rsidP="00EB6AB1">
      <w:pPr>
        <w:spacing w:after="240"/>
        <w:rPr>
          <w:sz w:val="24"/>
          <w:szCs w:val="18"/>
        </w:rPr>
      </w:pPr>
      <w:r w:rsidRPr="00B246BF">
        <w:rPr>
          <w:sz w:val="24"/>
          <w:szCs w:val="18"/>
        </w:rPr>
        <w:t xml:space="preserve">Le site met bien entendu en exergue le nouveau nom et la nouvelle identité de </w:t>
      </w:r>
      <w:r w:rsidR="00EB6AB1" w:rsidRPr="00EB6AB1">
        <w:rPr>
          <w:sz w:val="24"/>
          <w:szCs w:val="18"/>
        </w:rPr>
        <w:t>Stellantis &amp;</w:t>
      </w:r>
      <w:r w:rsidR="00E362EA">
        <w:rPr>
          <w:sz w:val="24"/>
          <w:szCs w:val="18"/>
        </w:rPr>
        <w:t xml:space="preserve"> </w:t>
      </w:r>
      <w:r w:rsidR="00EB6AB1" w:rsidRPr="00EB6AB1">
        <w:rPr>
          <w:sz w:val="24"/>
          <w:szCs w:val="18"/>
        </w:rPr>
        <w:t>You, Sales and Services</w:t>
      </w:r>
      <w:r w:rsidRPr="00B246BF">
        <w:rPr>
          <w:sz w:val="24"/>
          <w:szCs w:val="18"/>
        </w:rPr>
        <w:t xml:space="preserve">, avec une nouvelle </w:t>
      </w:r>
      <w:r w:rsidR="00527773">
        <w:rPr>
          <w:sz w:val="24"/>
          <w:szCs w:val="18"/>
        </w:rPr>
        <w:t>ligne</w:t>
      </w:r>
      <w:r w:rsidR="00EE3FBB">
        <w:rPr>
          <w:sz w:val="24"/>
          <w:szCs w:val="18"/>
        </w:rPr>
        <w:t xml:space="preserve"> graphique </w:t>
      </w:r>
      <w:r w:rsidR="00B246BF" w:rsidRPr="00B246BF">
        <w:rPr>
          <w:sz w:val="24"/>
          <w:szCs w:val="18"/>
        </w:rPr>
        <w:t>centrée sur l’utilisateur</w:t>
      </w:r>
      <w:r w:rsidR="00EE3FBB">
        <w:rPr>
          <w:sz w:val="24"/>
          <w:szCs w:val="18"/>
        </w:rPr>
        <w:t>.</w:t>
      </w:r>
      <w:r w:rsidR="00B246BF">
        <w:rPr>
          <w:sz w:val="24"/>
          <w:szCs w:val="18"/>
        </w:rPr>
        <w:t xml:space="preserve"> </w:t>
      </w:r>
    </w:p>
    <w:p w:rsidR="008F550D" w:rsidRDefault="008F550D" w:rsidP="008F550D">
      <w:pPr>
        <w:spacing w:after="240"/>
        <w:rPr>
          <w:i/>
          <w:sz w:val="24"/>
          <w:szCs w:val="18"/>
        </w:rPr>
      </w:pPr>
      <w:r w:rsidRPr="00EB6AB1">
        <w:rPr>
          <w:b/>
          <w:sz w:val="24"/>
          <w:szCs w:val="18"/>
        </w:rPr>
        <w:t xml:space="preserve">Anne </w:t>
      </w:r>
      <w:proofErr w:type="spellStart"/>
      <w:r w:rsidRPr="00EB6AB1">
        <w:rPr>
          <w:b/>
          <w:sz w:val="24"/>
          <w:szCs w:val="18"/>
        </w:rPr>
        <w:t>Abboud</w:t>
      </w:r>
      <w:proofErr w:type="spellEnd"/>
      <w:r w:rsidRPr="00EB6AB1">
        <w:rPr>
          <w:b/>
          <w:sz w:val="24"/>
          <w:szCs w:val="18"/>
        </w:rPr>
        <w:t xml:space="preserve">, Senior </w:t>
      </w:r>
      <w:proofErr w:type="spellStart"/>
      <w:r w:rsidRPr="00EB6AB1">
        <w:rPr>
          <w:b/>
          <w:sz w:val="24"/>
          <w:szCs w:val="18"/>
        </w:rPr>
        <w:t>Vice-President</w:t>
      </w:r>
      <w:proofErr w:type="spellEnd"/>
      <w:r w:rsidRPr="00EB6AB1">
        <w:rPr>
          <w:b/>
          <w:sz w:val="24"/>
          <w:szCs w:val="18"/>
        </w:rPr>
        <w:t xml:space="preserve"> of Stellantis &amp;</w:t>
      </w:r>
      <w:r w:rsidR="00E362EA">
        <w:rPr>
          <w:b/>
          <w:sz w:val="24"/>
          <w:szCs w:val="18"/>
        </w:rPr>
        <w:t xml:space="preserve"> </w:t>
      </w:r>
      <w:r w:rsidRPr="00B34FD3">
        <w:rPr>
          <w:b/>
          <w:sz w:val="24"/>
          <w:szCs w:val="18"/>
        </w:rPr>
        <w:t xml:space="preserve">You, Sales and Services </w:t>
      </w:r>
      <w:proofErr w:type="gramStart"/>
      <w:r w:rsidRPr="00B34FD3">
        <w:rPr>
          <w:b/>
          <w:sz w:val="24"/>
          <w:szCs w:val="18"/>
        </w:rPr>
        <w:t>déclare</w:t>
      </w:r>
      <w:r w:rsidRPr="00EB6AB1">
        <w:rPr>
          <w:b/>
          <w:sz w:val="24"/>
          <w:szCs w:val="18"/>
        </w:rPr>
        <w:t>:</w:t>
      </w:r>
      <w:proofErr w:type="gramEnd"/>
      <w:r w:rsidRPr="00EB6AB1">
        <w:rPr>
          <w:sz w:val="24"/>
          <w:szCs w:val="18"/>
        </w:rPr>
        <w:t xml:space="preserve"> “</w:t>
      </w:r>
      <w:r w:rsidRPr="00B34FD3">
        <w:rPr>
          <w:i/>
          <w:sz w:val="24"/>
          <w:szCs w:val="18"/>
        </w:rPr>
        <w:t>Nous sommes fiers d’annoncer aujourd’hui notre nouveau nom commercial en parallèle du lancement de notre no</w:t>
      </w:r>
      <w:r>
        <w:rPr>
          <w:i/>
          <w:sz w:val="24"/>
          <w:szCs w:val="18"/>
        </w:rPr>
        <w:t xml:space="preserve">uvelle </w:t>
      </w:r>
      <w:proofErr w:type="spellStart"/>
      <w:r>
        <w:rPr>
          <w:i/>
          <w:sz w:val="24"/>
          <w:szCs w:val="18"/>
        </w:rPr>
        <w:t>market</w:t>
      </w:r>
      <w:proofErr w:type="spellEnd"/>
      <w:r>
        <w:rPr>
          <w:i/>
          <w:sz w:val="24"/>
          <w:szCs w:val="18"/>
        </w:rPr>
        <w:t xml:space="preserve"> place</w:t>
      </w:r>
      <w:r w:rsidRPr="00B34FD3">
        <w:rPr>
          <w:i/>
          <w:sz w:val="24"/>
          <w:szCs w:val="18"/>
        </w:rPr>
        <w:t>.</w:t>
      </w:r>
      <w:r>
        <w:rPr>
          <w:i/>
          <w:sz w:val="24"/>
          <w:szCs w:val="18"/>
        </w:rPr>
        <w:t xml:space="preserve"> </w:t>
      </w:r>
      <w:r w:rsidRPr="00B34FD3">
        <w:rPr>
          <w:i/>
          <w:sz w:val="24"/>
          <w:szCs w:val="18"/>
        </w:rPr>
        <w:t>Ste</w:t>
      </w:r>
      <w:r w:rsidRPr="00EB6AB1">
        <w:rPr>
          <w:i/>
          <w:sz w:val="24"/>
          <w:szCs w:val="18"/>
        </w:rPr>
        <w:t>llantis &amp;</w:t>
      </w:r>
      <w:r w:rsidR="00E362EA">
        <w:rPr>
          <w:i/>
          <w:sz w:val="24"/>
          <w:szCs w:val="18"/>
        </w:rPr>
        <w:t xml:space="preserve"> </w:t>
      </w:r>
      <w:r w:rsidRPr="00EB6AB1">
        <w:rPr>
          <w:i/>
          <w:sz w:val="24"/>
          <w:szCs w:val="18"/>
        </w:rPr>
        <w:t xml:space="preserve">You, Sales and Services </w:t>
      </w:r>
      <w:r w:rsidR="00FE5E16">
        <w:rPr>
          <w:i/>
          <w:sz w:val="24"/>
          <w:szCs w:val="18"/>
        </w:rPr>
        <w:t>est un nom inspirant tant pour nos équipes,</w:t>
      </w:r>
      <w:r>
        <w:rPr>
          <w:i/>
          <w:sz w:val="24"/>
          <w:szCs w:val="18"/>
        </w:rPr>
        <w:t xml:space="preserve"> que pour nos clie</w:t>
      </w:r>
      <w:r w:rsidRPr="00B34FD3">
        <w:rPr>
          <w:i/>
          <w:sz w:val="24"/>
          <w:szCs w:val="18"/>
        </w:rPr>
        <w:t>nts.</w:t>
      </w:r>
      <w:r w:rsidRPr="00EB6AB1">
        <w:rPr>
          <w:i/>
          <w:sz w:val="24"/>
          <w:szCs w:val="18"/>
        </w:rPr>
        <w:t xml:space="preserve"> </w:t>
      </w:r>
      <w:r w:rsidRPr="00B34FD3">
        <w:rPr>
          <w:i/>
          <w:sz w:val="24"/>
          <w:szCs w:val="18"/>
        </w:rPr>
        <w:t xml:space="preserve">Tous les collaborateurs et collaboratrices de </w:t>
      </w:r>
      <w:r w:rsidRPr="00EB6AB1">
        <w:rPr>
          <w:i/>
          <w:sz w:val="24"/>
          <w:szCs w:val="18"/>
        </w:rPr>
        <w:t xml:space="preserve">Stellantis &amp; </w:t>
      </w:r>
      <w:r>
        <w:rPr>
          <w:i/>
          <w:sz w:val="24"/>
          <w:szCs w:val="18"/>
        </w:rPr>
        <w:t>Y</w:t>
      </w:r>
      <w:r w:rsidRPr="00EB6AB1">
        <w:rPr>
          <w:i/>
          <w:sz w:val="24"/>
          <w:szCs w:val="18"/>
        </w:rPr>
        <w:t>ou, Sales &amp; Services</w:t>
      </w:r>
      <w:r>
        <w:rPr>
          <w:i/>
          <w:sz w:val="24"/>
          <w:szCs w:val="18"/>
        </w:rPr>
        <w:t xml:space="preserve"> ont la volonté de servir chaque client avec </w:t>
      </w:r>
      <w:r w:rsidR="00FE5E16">
        <w:rPr>
          <w:i/>
          <w:sz w:val="24"/>
          <w:szCs w:val="18"/>
        </w:rPr>
        <w:t xml:space="preserve">excellence et </w:t>
      </w:r>
      <w:r w:rsidR="00D87F2C">
        <w:rPr>
          <w:i/>
          <w:sz w:val="24"/>
          <w:szCs w:val="18"/>
        </w:rPr>
        <w:t>de privilégier</w:t>
      </w:r>
      <w:r w:rsidR="00395B9A">
        <w:rPr>
          <w:i/>
          <w:sz w:val="24"/>
          <w:szCs w:val="18"/>
        </w:rPr>
        <w:t xml:space="preserve"> une</w:t>
      </w:r>
      <w:r w:rsidR="00FE5E16">
        <w:rPr>
          <w:i/>
          <w:sz w:val="24"/>
          <w:szCs w:val="18"/>
        </w:rPr>
        <w:t xml:space="preserve"> relation</w:t>
      </w:r>
      <w:r w:rsidRPr="00B34FD3">
        <w:rPr>
          <w:i/>
          <w:sz w:val="24"/>
          <w:szCs w:val="18"/>
        </w:rPr>
        <w:t xml:space="preserve"> humaine qui caractérise une qualité de service de </w:t>
      </w:r>
      <w:r>
        <w:rPr>
          <w:i/>
          <w:sz w:val="24"/>
          <w:szCs w:val="18"/>
        </w:rPr>
        <w:t>réfé</w:t>
      </w:r>
      <w:r w:rsidRPr="00B34FD3">
        <w:rPr>
          <w:i/>
          <w:sz w:val="24"/>
          <w:szCs w:val="18"/>
        </w:rPr>
        <w:t>rence.</w:t>
      </w:r>
    </w:p>
    <w:p w:rsidR="00EB6AB1" w:rsidRPr="00EB6AB1" w:rsidRDefault="00527773" w:rsidP="00EB6AB1">
      <w:pPr>
        <w:spacing w:after="240"/>
        <w:rPr>
          <w:b/>
          <w:color w:val="1B2961" w:themeColor="text2" w:themeShade="BF"/>
          <w:sz w:val="24"/>
          <w:szCs w:val="18"/>
        </w:rPr>
      </w:pPr>
      <w:r w:rsidRPr="00527773">
        <w:rPr>
          <w:b/>
          <w:color w:val="1B2961" w:themeColor="text2" w:themeShade="BF"/>
          <w:sz w:val="24"/>
          <w:szCs w:val="18"/>
        </w:rPr>
        <w:t>Une feuille de route ambitieuse: anticiper les changements de comportement des consommateurs</w:t>
      </w:r>
      <w:r>
        <w:rPr>
          <w:b/>
          <w:color w:val="1B2961" w:themeColor="text2" w:themeShade="BF"/>
          <w:sz w:val="24"/>
          <w:szCs w:val="18"/>
        </w:rPr>
        <w:t xml:space="preserve"> et prendre le leadership de la transformation énergétique</w:t>
      </w:r>
    </w:p>
    <w:p w:rsidR="00F116EE" w:rsidRDefault="00EB6AB1" w:rsidP="00EB6AB1">
      <w:pPr>
        <w:spacing w:after="240"/>
        <w:rPr>
          <w:sz w:val="24"/>
        </w:rPr>
      </w:pPr>
      <w:r w:rsidRPr="00EB6AB1">
        <w:rPr>
          <w:sz w:val="24"/>
        </w:rPr>
        <w:t>Stellantis &amp;</w:t>
      </w:r>
      <w:r w:rsidR="00E362EA">
        <w:rPr>
          <w:sz w:val="24"/>
        </w:rPr>
        <w:t xml:space="preserve"> </w:t>
      </w:r>
      <w:r w:rsidRPr="00EB6AB1">
        <w:rPr>
          <w:sz w:val="24"/>
        </w:rPr>
        <w:t xml:space="preserve">You, Sales and Services, </w:t>
      </w:r>
      <w:r w:rsidR="00B246BF" w:rsidRPr="00B246BF">
        <w:rPr>
          <w:sz w:val="24"/>
        </w:rPr>
        <w:t>2ème groupe de distribution en Europe se fixe des objectifs ambitieux à l’horizon 2030, sous-tendus par deux axes stratégiques :</w:t>
      </w:r>
      <w:r w:rsidR="00B246BF">
        <w:rPr>
          <w:sz w:val="24"/>
        </w:rPr>
        <w:t xml:space="preserve"> anticiper les changements de</w:t>
      </w:r>
      <w:r w:rsidR="00B246BF" w:rsidRPr="00B246BF">
        <w:rPr>
          <w:sz w:val="24"/>
        </w:rPr>
        <w:t xml:space="preserve"> compo</w:t>
      </w:r>
      <w:r w:rsidR="00B246BF">
        <w:rPr>
          <w:sz w:val="24"/>
        </w:rPr>
        <w:t xml:space="preserve">rtement des consommateurs et prendre le leadership en matière </w:t>
      </w:r>
      <w:r w:rsidR="00EE3FBB">
        <w:rPr>
          <w:sz w:val="24"/>
        </w:rPr>
        <w:t>de transition</w:t>
      </w:r>
      <w:r w:rsidR="008F550D">
        <w:rPr>
          <w:sz w:val="24"/>
        </w:rPr>
        <w:t xml:space="preserve"> énergétique.</w:t>
      </w:r>
    </w:p>
    <w:p w:rsidR="00EE3FBB" w:rsidRDefault="00F116EE" w:rsidP="00EB6AB1">
      <w:pPr>
        <w:spacing w:after="240"/>
        <w:rPr>
          <w:sz w:val="24"/>
        </w:rPr>
      </w:pPr>
      <w:r w:rsidRPr="00F116EE">
        <w:rPr>
          <w:sz w:val="24"/>
        </w:rPr>
        <w:t>Le réseau de distribution propre du groupe Stellan</w:t>
      </w:r>
      <w:r w:rsidR="00AE4BA0">
        <w:rPr>
          <w:sz w:val="24"/>
        </w:rPr>
        <w:t xml:space="preserve">tis entend ainsi capter </w:t>
      </w:r>
      <w:r w:rsidRPr="00F116EE">
        <w:rPr>
          <w:sz w:val="24"/>
        </w:rPr>
        <w:t xml:space="preserve">25 % </w:t>
      </w:r>
      <w:r w:rsidR="00AE4BA0">
        <w:rPr>
          <w:sz w:val="24"/>
        </w:rPr>
        <w:t>de ses clients par le canal e-Commerce dès 2025</w:t>
      </w:r>
      <w:r>
        <w:rPr>
          <w:sz w:val="24"/>
        </w:rPr>
        <w:t xml:space="preserve">, </w:t>
      </w:r>
      <w:r w:rsidR="00AE4BA0">
        <w:rPr>
          <w:sz w:val="24"/>
        </w:rPr>
        <w:t>avec une</w:t>
      </w:r>
      <w:r>
        <w:rPr>
          <w:sz w:val="24"/>
        </w:rPr>
        <w:t xml:space="preserve"> e-réputation au meilleu</w:t>
      </w:r>
      <w:r w:rsidR="00E4210D">
        <w:rPr>
          <w:sz w:val="24"/>
        </w:rPr>
        <w:t>r niveau du marché</w:t>
      </w:r>
      <w:r w:rsidR="00AE4BA0">
        <w:rPr>
          <w:sz w:val="24"/>
        </w:rPr>
        <w:t>.</w:t>
      </w:r>
    </w:p>
    <w:p w:rsidR="00E4210D" w:rsidRDefault="00EB6AB1" w:rsidP="00EB6AB1">
      <w:pPr>
        <w:spacing w:after="240"/>
        <w:rPr>
          <w:sz w:val="24"/>
        </w:rPr>
      </w:pPr>
      <w:r w:rsidRPr="00EB6AB1">
        <w:rPr>
          <w:sz w:val="24"/>
        </w:rPr>
        <w:t>Stellantis &amp;</w:t>
      </w:r>
      <w:r w:rsidR="00E362EA">
        <w:rPr>
          <w:sz w:val="24"/>
        </w:rPr>
        <w:t xml:space="preserve"> </w:t>
      </w:r>
      <w:r w:rsidRPr="00EB6AB1">
        <w:rPr>
          <w:sz w:val="24"/>
        </w:rPr>
        <w:t xml:space="preserve">You, Sales and services </w:t>
      </w:r>
      <w:r w:rsidR="00B215F3" w:rsidRPr="00E4210D">
        <w:rPr>
          <w:sz w:val="24"/>
        </w:rPr>
        <w:t>ambitionne d’améliorer ses ventes et se</w:t>
      </w:r>
      <w:r w:rsidR="00EE3FBB">
        <w:rPr>
          <w:sz w:val="24"/>
        </w:rPr>
        <w:t>s</w:t>
      </w:r>
      <w:r w:rsidR="00B215F3" w:rsidRPr="00E4210D">
        <w:rPr>
          <w:sz w:val="24"/>
        </w:rPr>
        <w:t xml:space="preserve"> services </w:t>
      </w:r>
      <w:r w:rsidR="00E4210D" w:rsidRPr="00E4210D">
        <w:rPr>
          <w:sz w:val="24"/>
        </w:rPr>
        <w:t xml:space="preserve">en ligne, d’augmenter sa profitabilité de 50 %, tout en </w:t>
      </w:r>
      <w:r w:rsidR="00EE3FBB">
        <w:rPr>
          <w:sz w:val="24"/>
        </w:rPr>
        <w:t>continuant à optimiser son empreinte physique</w:t>
      </w:r>
      <w:r w:rsidR="00E4210D">
        <w:rPr>
          <w:sz w:val="24"/>
        </w:rPr>
        <w:t xml:space="preserve">.  </w:t>
      </w:r>
    </w:p>
    <w:p w:rsidR="00AE2FAF" w:rsidRPr="008F550D" w:rsidRDefault="00E4210D" w:rsidP="00EB6AB1">
      <w:pPr>
        <w:spacing w:after="240"/>
        <w:rPr>
          <w:sz w:val="24"/>
        </w:rPr>
      </w:pPr>
      <w:r w:rsidRPr="00E4210D">
        <w:rPr>
          <w:sz w:val="24"/>
        </w:rPr>
        <w:t xml:space="preserve">Pour répondre aux besoins des consommateurs du présent et </w:t>
      </w:r>
      <w:r w:rsidRPr="00EB6AB1">
        <w:rPr>
          <w:sz w:val="24"/>
        </w:rPr>
        <w:t>prendre</w:t>
      </w:r>
      <w:r w:rsidRPr="00E4210D">
        <w:rPr>
          <w:sz w:val="24"/>
        </w:rPr>
        <w:t xml:space="preserve"> rendez-vous avec les générations futures</w:t>
      </w:r>
      <w:r w:rsidR="00EB6AB1" w:rsidRPr="00EB6AB1">
        <w:rPr>
          <w:sz w:val="24"/>
        </w:rPr>
        <w:t>, Stellantis &amp;</w:t>
      </w:r>
      <w:r w:rsidR="00E362EA">
        <w:rPr>
          <w:sz w:val="24"/>
        </w:rPr>
        <w:t xml:space="preserve"> </w:t>
      </w:r>
      <w:r w:rsidR="00EB6AB1" w:rsidRPr="00EB6AB1">
        <w:rPr>
          <w:sz w:val="24"/>
        </w:rPr>
        <w:t xml:space="preserve">You, Sales and Services </w:t>
      </w:r>
      <w:r w:rsidR="003F5D47">
        <w:rPr>
          <w:sz w:val="24"/>
        </w:rPr>
        <w:t xml:space="preserve">ambitionne d’être leader </w:t>
      </w:r>
      <w:r>
        <w:rPr>
          <w:sz w:val="24"/>
        </w:rPr>
        <w:t xml:space="preserve">de la transition </w:t>
      </w:r>
      <w:r>
        <w:rPr>
          <w:sz w:val="24"/>
        </w:rPr>
        <w:lastRenderedPageBreak/>
        <w:t xml:space="preserve">énergétique dans les domaines de la vente et de l’après-vente, lié à l’électrification des gammes de véhicules, tout en atteignant </w:t>
      </w:r>
      <w:r w:rsidR="00FE5E16">
        <w:rPr>
          <w:sz w:val="24"/>
        </w:rPr>
        <w:t>la</w:t>
      </w:r>
      <w:r>
        <w:rPr>
          <w:sz w:val="24"/>
        </w:rPr>
        <w:t xml:space="preserve"> neut</w:t>
      </w:r>
      <w:r w:rsidR="00122C64">
        <w:rPr>
          <w:sz w:val="24"/>
        </w:rPr>
        <w:t>ralité carbone de ses sites</w:t>
      </w:r>
      <w:r>
        <w:rPr>
          <w:sz w:val="24"/>
        </w:rPr>
        <w:t xml:space="preserve"> en 2030. </w:t>
      </w:r>
    </w:p>
    <w:p w:rsidR="008F550D" w:rsidRDefault="008F550D" w:rsidP="00EB6AB1">
      <w:pPr>
        <w:spacing w:before="480" w:after="480"/>
        <w:contextualSpacing/>
        <w:jc w:val="left"/>
        <w:rPr>
          <w:rFonts w:asciiTheme="majorHAnsi" w:hAnsiTheme="majorHAnsi"/>
          <w:bCs/>
          <w:i/>
          <w:noProof/>
          <w:color w:val="243782" w:themeColor="text2"/>
          <w:sz w:val="24"/>
          <w:szCs w:val="24"/>
        </w:rPr>
      </w:pPr>
    </w:p>
    <w:p w:rsidR="00EB6AB1" w:rsidRDefault="004766F7" w:rsidP="00EB6AB1">
      <w:pPr>
        <w:spacing w:before="480" w:after="480"/>
        <w:contextualSpacing/>
        <w:jc w:val="left"/>
        <w:rPr>
          <w:rFonts w:asciiTheme="majorHAnsi" w:hAnsiTheme="majorHAnsi"/>
          <w:bCs/>
          <w:i/>
          <w:noProof/>
          <w:color w:val="243782" w:themeColor="text2"/>
          <w:sz w:val="24"/>
          <w:szCs w:val="24"/>
        </w:rPr>
      </w:pPr>
      <w:r>
        <w:rPr>
          <w:rFonts w:asciiTheme="majorHAnsi" w:hAnsiTheme="majorHAnsi"/>
          <w:bCs/>
          <w:i/>
          <w:noProof/>
          <w:color w:val="243782" w:themeColor="text2"/>
          <w:sz w:val="24"/>
          <w:szCs w:val="24"/>
        </w:rPr>
        <w:t>About Stellantis</w:t>
      </w:r>
    </w:p>
    <w:p w:rsidR="00E362EA" w:rsidRDefault="00E362EA" w:rsidP="00B207EB">
      <w:pPr>
        <w:rPr>
          <w:rFonts w:asciiTheme="majorHAnsi" w:hAnsiTheme="majorHAnsi"/>
          <w:bCs/>
          <w:i/>
          <w:noProof/>
          <w:color w:val="243782" w:themeColor="text2"/>
          <w:sz w:val="24"/>
          <w:szCs w:val="24"/>
        </w:rPr>
      </w:pPr>
    </w:p>
    <w:p w:rsidR="00B207EB" w:rsidRPr="00F046F4" w:rsidRDefault="00E362EA" w:rsidP="00B207EB">
      <w:pPr>
        <w:rPr>
          <w:rFonts w:ascii="Encode Sans ExpandedLight" w:hAnsi="Encode Sans ExpandedLight" w:cs="Calibri"/>
          <w:i/>
          <w:sz w:val="18"/>
          <w:szCs w:val="22"/>
        </w:rPr>
      </w:pPr>
      <w:r>
        <w:rPr>
          <w:rFonts w:ascii="Encode Sans ExpandedLight" w:hAnsi="Encode Sans ExpandedLight" w:cs="Calibri"/>
          <w:i/>
          <w:sz w:val="18"/>
          <w:szCs w:val="22"/>
        </w:rPr>
        <w:t>Stellantis e</w:t>
      </w:r>
      <w:r w:rsidR="00B207EB" w:rsidRPr="00F046F4">
        <w:rPr>
          <w:rFonts w:ascii="Encode Sans ExpandedLight" w:hAnsi="Encode Sans ExpandedLight" w:cs="Calibri"/>
          <w:i/>
          <w:sz w:val="18"/>
          <w:szCs w:val="22"/>
        </w:rPr>
        <w:t>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Stellantis tirera parti de son large portefeuille de marques emblématiques, fondées par des visionnaires qui leur ont insufflé passion et esprit de compétition qui résonnent encore aujourd’hui, aussi bien auprès des employés que des clients. Stellantis aspire à devenir le meilleur, et non le plus grand, tout en créant de la valeur ajoutée pour toutes les parties prenantes ainsi que pour les communautés dans lesquelles il opère.</w:t>
      </w:r>
    </w:p>
    <w:p w:rsidR="00B207EB" w:rsidRPr="00EB6AB1" w:rsidRDefault="00B207EB" w:rsidP="00EB6AB1">
      <w:pPr>
        <w:spacing w:before="480" w:after="480"/>
        <w:contextualSpacing/>
        <w:jc w:val="left"/>
        <w:rPr>
          <w:rFonts w:asciiTheme="majorHAnsi" w:hAnsiTheme="majorHAnsi"/>
          <w:bCs/>
          <w:i/>
          <w:noProof/>
          <w:color w:val="243782" w:themeColor="text2"/>
          <w:sz w:val="24"/>
          <w:szCs w:val="24"/>
        </w:rPr>
      </w:pP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056B17" w:rsidRPr="00D64B4E" w:rsidTr="00030BBA">
        <w:tc>
          <w:tcPr>
            <w:tcW w:w="2265" w:type="dxa"/>
            <w:vAlign w:val="bottom"/>
          </w:tcPr>
          <w:p w:rsidR="00056B17" w:rsidRPr="00D64B4E" w:rsidRDefault="00056B17" w:rsidP="00030BBA">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22.8pt" o:ole="">
                  <v:imagedata r:id="rId8" o:title=""/>
                </v:shape>
                <o:OLEObject Type="Embed" ProgID="PBrush" ShapeID="_x0000_i1025" DrawAspect="Content" ObjectID="_1697962117" r:id="rId9"/>
              </w:object>
            </w:r>
            <w:hyperlink r:id="rId10" w:history="1">
              <w:r w:rsidRPr="00D64B4E">
                <w:rPr>
                  <w:rStyle w:val="Hyperlink"/>
                  <w:rFonts w:ascii="Encode Sans ExpandedLight" w:eastAsia="Calibri" w:hAnsi="Encode Sans ExpandedLight" w:cs="Times New Roman"/>
                  <w:sz w:val="20"/>
                </w:rPr>
                <w:t>@Stellantis</w:t>
              </w:r>
            </w:hyperlink>
          </w:p>
        </w:tc>
        <w:tc>
          <w:tcPr>
            <w:tcW w:w="2265" w:type="dxa"/>
            <w:vAlign w:val="bottom"/>
          </w:tcPr>
          <w:p w:rsidR="00056B17" w:rsidRPr="00D64B4E" w:rsidRDefault="00056B17" w:rsidP="00030BBA">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v:shape id="_x0000_i1026" type="#_x0000_t75" style="width:21.6pt;height:21.6pt" o:ole="">
                  <v:imagedata r:id="rId11" o:title=""/>
                </v:shape>
                <o:OLEObject Type="Embed" ProgID="PBrush" ShapeID="_x0000_i1026" DrawAspect="Content" ObjectID="_1697962118" r:id="rId12"/>
              </w:object>
            </w:r>
            <w:hyperlink r:id="rId13" w:history="1">
              <w:r w:rsidRPr="00D64B4E">
                <w:rPr>
                  <w:rStyle w:val="Hyperlink"/>
                  <w:rFonts w:ascii="Encode Sans ExpandedLight" w:eastAsia="Calibri" w:hAnsi="Encode Sans ExpandedLight" w:cs="Times New Roman"/>
                  <w:sz w:val="20"/>
                </w:rPr>
                <w:t>Stellantis</w:t>
              </w:r>
            </w:hyperlink>
          </w:p>
        </w:tc>
        <w:tc>
          <w:tcPr>
            <w:tcW w:w="2266" w:type="dxa"/>
            <w:vAlign w:val="bottom"/>
          </w:tcPr>
          <w:p w:rsidR="00056B17" w:rsidRPr="00D64B4E" w:rsidRDefault="00056B17" w:rsidP="00030BBA">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7" type="#_x0000_t75" style="width:21pt;height:21pt" o:ole="">
                  <v:imagedata r:id="rId14" o:title=""/>
                </v:shape>
                <o:OLEObject Type="Embed" ProgID="PBrush" ShapeID="_x0000_i1027" DrawAspect="Content" ObjectID="_1697962119" r:id="rId15"/>
              </w:object>
            </w:r>
            <w:hyperlink r:id="rId16" w:history="1">
              <w:r w:rsidRPr="00D64B4E">
                <w:rPr>
                  <w:rStyle w:val="Hyperlink"/>
                  <w:rFonts w:ascii="Encode Sans ExpandedLight" w:eastAsia="Calibri" w:hAnsi="Encode Sans ExpandedLight" w:cs="Times New Roman"/>
                  <w:sz w:val="20"/>
                </w:rPr>
                <w:t>Stellantis</w:t>
              </w:r>
            </w:hyperlink>
          </w:p>
        </w:tc>
        <w:tc>
          <w:tcPr>
            <w:tcW w:w="2266" w:type="dxa"/>
            <w:vAlign w:val="bottom"/>
          </w:tcPr>
          <w:p w:rsidR="00056B17" w:rsidRPr="00D64B4E" w:rsidRDefault="00056B17" w:rsidP="00030BBA">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8" type="#_x0000_t75" style="width:23.4pt;height:23.4pt" o:ole="">
                  <v:imagedata r:id="rId17" o:title=""/>
                </v:shape>
                <o:OLEObject Type="Embed" ProgID="PBrush" ShapeID="_x0000_i1028" DrawAspect="Content" ObjectID="_1697962120" r:id="rId18"/>
              </w:object>
            </w:r>
            <w:hyperlink r:id="rId19" w:history="1">
              <w:r w:rsidRPr="00D64B4E">
                <w:rPr>
                  <w:rStyle w:val="Hyperlink"/>
                  <w:rFonts w:ascii="Encode Sans ExpandedLight" w:eastAsia="Calibri" w:hAnsi="Encode Sans ExpandedLight" w:cs="Times New Roman"/>
                  <w:sz w:val="20"/>
                </w:rPr>
                <w:t>Stellantis</w:t>
              </w:r>
            </w:hyperlink>
          </w:p>
        </w:tc>
      </w:tr>
    </w:tbl>
    <w:tbl>
      <w:tblPr>
        <w:tblStyle w:val="TableGrid"/>
        <w:tblW w:w="35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5669"/>
      </w:tblGrid>
      <w:tr w:rsidR="00056B17" w:rsidRPr="009C3063" w:rsidTr="00030BBA">
        <w:trPr>
          <w:trHeight w:val="2043"/>
        </w:trPr>
        <w:tc>
          <w:tcPr>
            <w:tcW w:w="5669" w:type="dxa"/>
          </w:tcPr>
          <w:p w:rsidR="00056B17" w:rsidRPr="009C3063" w:rsidRDefault="00056B17" w:rsidP="00030BBA">
            <w:pPr>
              <w:rPr>
                <w:sz w:val="21"/>
                <w:szCs w:val="21"/>
              </w:rPr>
            </w:pPr>
            <w:r w:rsidRPr="009C3063">
              <w:rPr>
                <w:noProof/>
                <w:sz w:val="21"/>
                <w:szCs w:val="21"/>
                <w:lang w:val="en-US"/>
              </w:rPr>
              <mc:AlternateContent>
                <mc:Choice Requires="wps">
                  <w:drawing>
                    <wp:inline distT="0" distB="0" distL="0" distR="0" wp14:anchorId="70DC049D" wp14:editId="43A9DEEA">
                      <wp:extent cx="432000" cy="61913"/>
                      <wp:effectExtent l="0" t="0" r="6350" b="0"/>
                      <wp:docPr id="13"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rgbClr val="243782"/>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8CAD4D0"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" path="m329,39l,39,27,,354,,329,39xe" fillcolor="#243782" stroked="f">
                      <v:path arrowok="t" o:connecttype="custom" o:connectlocs="401492,61913;0,61913;32949,0;432000,0;401492,61913" o:connectangles="0,0,0,0,0"/>
                      <w10:anchorlock/>
                    </v:shape>
                  </w:pict>
                </mc:Fallback>
              </mc:AlternateContent>
            </w:r>
          </w:p>
          <w:p w:rsidR="00056B17" w:rsidRPr="009C3063" w:rsidRDefault="00056B17" w:rsidP="00030BBA">
            <w:pPr>
              <w:pStyle w:val="SContact-Title"/>
              <w:rPr>
                <w:sz w:val="21"/>
                <w:szCs w:val="21"/>
              </w:rPr>
            </w:pPr>
            <w:r w:rsidRPr="009C3063">
              <w:rPr>
                <w:rFonts w:ascii="Encode Sans" w:eastAsia="Encode Sans" w:hAnsi="Encode Sans" w:cs="Times New Roman"/>
                <w:b/>
                <w:color w:val="243782"/>
                <w:sz w:val="21"/>
                <w:szCs w:val="21"/>
              </w:rPr>
              <w:t>Pour plus d’informations, merci de contacter </w:t>
            </w:r>
            <w:r w:rsidRPr="009C3063">
              <w:rPr>
                <w:sz w:val="21"/>
                <w:szCs w:val="21"/>
              </w:rPr>
              <w:t>:</w:t>
            </w:r>
          </w:p>
          <w:p w:rsidR="00E362EA" w:rsidRPr="00E362EA" w:rsidRDefault="00B93C66" w:rsidP="00E362EA">
            <w:pPr>
              <w:pStyle w:val="SContact-Sendersinfo"/>
              <w:jc w:val="left"/>
              <w:rPr>
                <w:sz w:val="24"/>
                <w:szCs w:val="24"/>
                <w:lang w:val="en-GB"/>
              </w:rPr>
            </w:pPr>
            <w:sdt>
              <w:sdtPr>
                <w:rPr>
                  <w:sz w:val="24"/>
                  <w:szCs w:val="24"/>
                </w:rPr>
                <w:id w:val="1149550194"/>
                <w:placeholder>
                  <w:docPart w:val="113B7A1ACD064C6092B3B8FAB5D6FA73"/>
                </w:placeholder>
                <w15:appearance w15:val="hidden"/>
              </w:sdtPr>
              <w:sdtEndPr/>
              <w:sdtContent>
                <w:r w:rsidR="00E362EA" w:rsidRPr="00E362EA">
                  <w:rPr>
                    <w:sz w:val="24"/>
                    <w:szCs w:val="24"/>
                    <w:lang w:val="en-GB"/>
                  </w:rPr>
                  <w:t xml:space="preserve">Marc </w:t>
                </w:r>
                <w:proofErr w:type="spellStart"/>
                <w:r w:rsidR="00E362EA" w:rsidRPr="00E362EA">
                  <w:rPr>
                    <w:sz w:val="24"/>
                    <w:szCs w:val="24"/>
                    <w:lang w:val="en-GB"/>
                  </w:rPr>
                  <w:t>Bocqué</w:t>
                </w:r>
                <w:proofErr w:type="spellEnd"/>
                <w:r w:rsidR="00E362EA" w:rsidRPr="00E362EA">
                  <w:rPr>
                    <w:sz w:val="24"/>
                    <w:szCs w:val="24"/>
                    <w:lang w:val="en-GB"/>
                  </w:rPr>
                  <w:t>:</w:t>
                </w:r>
              </w:sdtContent>
            </w:sdt>
            <w:r w:rsidR="00E362EA" w:rsidRPr="00E362EA">
              <w:rPr>
                <w:sz w:val="24"/>
                <w:szCs w:val="24"/>
                <w:lang w:val="en-GB"/>
              </w:rPr>
              <w:t xml:space="preserve">  </w:t>
            </w:r>
            <w:sdt>
              <w:sdtPr>
                <w:rPr>
                  <w:sz w:val="24"/>
                  <w:szCs w:val="24"/>
                </w:rPr>
                <w:id w:val="-195931881"/>
                <w:placeholder>
                  <w:docPart w:val="6169805FD7614595876EADF50B552E10"/>
                </w:placeholder>
                <w15:appearance w15:val="hidden"/>
              </w:sdtPr>
              <w:sdtEndPr/>
              <w:sdtContent>
                <w:r w:rsidR="00E362EA" w:rsidRPr="00E362EA">
                  <w:rPr>
                    <w:rFonts w:asciiTheme="minorHAnsi" w:hAnsiTheme="minorHAnsi"/>
                    <w:sz w:val="24"/>
                    <w:szCs w:val="24"/>
                    <w:lang w:val="en-GB"/>
                  </w:rPr>
                  <w:t xml:space="preserve">+33 6 80 21 87 03 - </w:t>
                </w:r>
                <w:hyperlink r:id="rId20" w:history="1">
                  <w:r w:rsidR="00E362EA" w:rsidRPr="00E362EA">
                    <w:rPr>
                      <w:rStyle w:val="Hyperlink"/>
                      <w:rFonts w:asciiTheme="minorHAnsi" w:hAnsiTheme="minorHAnsi"/>
                      <w:sz w:val="24"/>
                      <w:szCs w:val="24"/>
                      <w:lang w:val="en-GB"/>
                    </w:rPr>
                    <w:t>marc.bocque@stellantis.com</w:t>
                  </w:r>
                </w:hyperlink>
                <w:r w:rsidR="00E362EA" w:rsidRPr="00E362EA">
                  <w:rPr>
                    <w:rFonts w:asciiTheme="minorHAnsi" w:hAnsiTheme="minorHAnsi"/>
                    <w:sz w:val="24"/>
                    <w:szCs w:val="24"/>
                    <w:lang w:val="en-GB"/>
                  </w:rPr>
                  <w:t xml:space="preserve">   </w:t>
                </w:r>
              </w:sdtContent>
            </w:sdt>
          </w:p>
          <w:p w:rsidR="00056B17" w:rsidRPr="009C3063" w:rsidRDefault="00B93C66" w:rsidP="00E362EA">
            <w:pPr>
              <w:pStyle w:val="SFooter-Emailwebsite"/>
              <w:rPr>
                <w:sz w:val="21"/>
                <w:szCs w:val="21"/>
              </w:rPr>
            </w:pPr>
            <w:hyperlink r:id="rId21" w:history="1">
              <w:r w:rsidR="00E362EA" w:rsidRPr="00E362EA">
                <w:rPr>
                  <w:rStyle w:val="Hyperlink"/>
                  <w:sz w:val="24"/>
                  <w:szCs w:val="24"/>
                </w:rPr>
                <w:t>communications</w:t>
              </w:r>
              <w:r w:rsidR="00E362EA" w:rsidRPr="00E362EA">
                <w:rPr>
                  <w:rStyle w:val="Hyperlink"/>
                  <w:color w:val="243782" w:themeColor="text2"/>
                  <w:sz w:val="24"/>
                  <w:szCs w:val="24"/>
                </w:rPr>
                <w:t>@stellantis.com</w:t>
              </w:r>
            </w:hyperlink>
            <w:r w:rsidR="00E362EA" w:rsidRPr="00E362EA">
              <w:rPr>
                <w:sz w:val="24"/>
                <w:szCs w:val="24"/>
              </w:rPr>
              <w:br/>
              <w:t>www.stellantis.com</w:t>
            </w:r>
          </w:p>
        </w:tc>
      </w:tr>
    </w:tbl>
    <w:p w:rsidR="00EB6AB1" w:rsidRPr="00F046F4" w:rsidRDefault="00EB6AB1" w:rsidP="00EB6AB1">
      <w:pPr>
        <w:spacing w:after="160" w:line="259" w:lineRule="auto"/>
        <w:rPr>
          <w:sz w:val="24"/>
        </w:rPr>
      </w:pPr>
    </w:p>
    <w:tbl>
      <w:tblPr>
        <w:tblStyle w:val="TableGrid"/>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1"/>
        <w:gridCol w:w="1713"/>
        <w:gridCol w:w="532"/>
        <w:gridCol w:w="1516"/>
        <w:gridCol w:w="519"/>
        <w:gridCol w:w="849"/>
        <w:gridCol w:w="636"/>
        <w:gridCol w:w="530"/>
        <w:gridCol w:w="992"/>
      </w:tblGrid>
      <w:tr w:rsidR="00EB6AB1" w:rsidRPr="00EB6AB1" w:rsidTr="00030BBA">
        <w:trPr>
          <w:trHeight w:val="729"/>
        </w:trPr>
        <w:tc>
          <w:tcPr>
            <w:tcW w:w="541" w:type="dxa"/>
            <w:vAlign w:val="center"/>
          </w:tcPr>
          <w:p w:rsidR="00EB6AB1" w:rsidRPr="00F046F4" w:rsidRDefault="00EB6AB1" w:rsidP="00EB6AB1">
            <w:pPr>
              <w:jc w:val="left"/>
              <w:rPr>
                <w:color w:val="243782" w:themeColor="text2"/>
                <w:sz w:val="22"/>
                <w:szCs w:val="22"/>
              </w:rPr>
            </w:pPr>
          </w:p>
        </w:tc>
        <w:tc>
          <w:tcPr>
            <w:tcW w:w="1713" w:type="dxa"/>
          </w:tcPr>
          <w:p w:rsidR="00EB6AB1" w:rsidRPr="00F046F4" w:rsidRDefault="00EB6AB1" w:rsidP="00EB6AB1">
            <w:pPr>
              <w:spacing w:before="120"/>
              <w:jc w:val="left"/>
              <w:rPr>
                <w:color w:val="243782" w:themeColor="text2"/>
                <w:sz w:val="22"/>
                <w:szCs w:val="22"/>
              </w:rPr>
            </w:pPr>
          </w:p>
        </w:tc>
        <w:tc>
          <w:tcPr>
            <w:tcW w:w="532" w:type="dxa"/>
            <w:vAlign w:val="center"/>
          </w:tcPr>
          <w:p w:rsidR="00EB6AB1" w:rsidRPr="00F046F4" w:rsidRDefault="00EB6AB1" w:rsidP="00EB6AB1">
            <w:pPr>
              <w:jc w:val="left"/>
              <w:rPr>
                <w:color w:val="243782" w:themeColor="text2"/>
                <w:sz w:val="22"/>
                <w:szCs w:val="22"/>
              </w:rPr>
            </w:pPr>
          </w:p>
        </w:tc>
        <w:tc>
          <w:tcPr>
            <w:tcW w:w="1516" w:type="dxa"/>
          </w:tcPr>
          <w:p w:rsidR="00EB6AB1" w:rsidRPr="00F046F4" w:rsidRDefault="00EB6AB1" w:rsidP="00EB6AB1">
            <w:pPr>
              <w:spacing w:before="120"/>
              <w:jc w:val="left"/>
              <w:rPr>
                <w:color w:val="243782" w:themeColor="text2"/>
                <w:sz w:val="22"/>
                <w:szCs w:val="22"/>
              </w:rPr>
            </w:pPr>
          </w:p>
        </w:tc>
        <w:tc>
          <w:tcPr>
            <w:tcW w:w="519" w:type="dxa"/>
            <w:vAlign w:val="center"/>
          </w:tcPr>
          <w:p w:rsidR="00EB6AB1" w:rsidRPr="00F046F4" w:rsidRDefault="00EB6AB1" w:rsidP="00EB6AB1">
            <w:pPr>
              <w:jc w:val="left"/>
              <w:rPr>
                <w:color w:val="243782" w:themeColor="text2"/>
                <w:sz w:val="22"/>
                <w:szCs w:val="22"/>
              </w:rPr>
            </w:pPr>
          </w:p>
        </w:tc>
        <w:tc>
          <w:tcPr>
            <w:tcW w:w="1485" w:type="dxa"/>
            <w:gridSpan w:val="2"/>
          </w:tcPr>
          <w:p w:rsidR="00EB6AB1" w:rsidRPr="00F046F4" w:rsidRDefault="00EB6AB1" w:rsidP="00EB6AB1">
            <w:pPr>
              <w:spacing w:before="120"/>
              <w:jc w:val="left"/>
              <w:rPr>
                <w:color w:val="243782" w:themeColor="text2"/>
                <w:sz w:val="22"/>
                <w:szCs w:val="22"/>
              </w:rPr>
            </w:pPr>
          </w:p>
        </w:tc>
        <w:tc>
          <w:tcPr>
            <w:tcW w:w="530" w:type="dxa"/>
            <w:vAlign w:val="center"/>
          </w:tcPr>
          <w:p w:rsidR="00EB6AB1" w:rsidRPr="00F046F4" w:rsidRDefault="00EB6AB1" w:rsidP="00EB6AB1">
            <w:pPr>
              <w:jc w:val="left"/>
              <w:rPr>
                <w:color w:val="243782" w:themeColor="text2"/>
                <w:sz w:val="22"/>
                <w:szCs w:val="22"/>
              </w:rPr>
            </w:pPr>
          </w:p>
        </w:tc>
        <w:tc>
          <w:tcPr>
            <w:tcW w:w="992" w:type="dxa"/>
          </w:tcPr>
          <w:p w:rsidR="00EB6AB1" w:rsidRPr="00F046F4" w:rsidRDefault="00EB6AB1" w:rsidP="00EB6AB1">
            <w:pPr>
              <w:spacing w:before="120"/>
              <w:jc w:val="left"/>
              <w:rPr>
                <w:color w:val="243782" w:themeColor="text2"/>
                <w:sz w:val="22"/>
                <w:szCs w:val="22"/>
              </w:rPr>
            </w:pPr>
          </w:p>
        </w:tc>
      </w:tr>
      <w:tr w:rsidR="00EB6AB1" w:rsidRPr="00EB6AB1" w:rsidTr="00030BBA">
        <w:tblPrEx>
          <w:tblCellMar>
            <w:right w:w="57" w:type="dxa"/>
          </w:tblCellMar>
        </w:tblPrEx>
        <w:trPr>
          <w:gridAfter w:val="3"/>
          <w:wAfter w:w="2158" w:type="dxa"/>
          <w:trHeight w:val="2043"/>
        </w:trPr>
        <w:tc>
          <w:tcPr>
            <w:tcW w:w="5670" w:type="dxa"/>
            <w:gridSpan w:val="6"/>
          </w:tcPr>
          <w:p w:rsidR="00EB6AB1" w:rsidRPr="00F046F4" w:rsidRDefault="00EB6AB1" w:rsidP="008F550D">
            <w:pPr>
              <w:spacing w:before="120"/>
              <w:contextualSpacing/>
              <w:rPr>
                <w:color w:val="243782" w:themeColor="text2"/>
                <w:sz w:val="24"/>
              </w:rPr>
            </w:pPr>
          </w:p>
        </w:tc>
      </w:tr>
    </w:tbl>
    <w:p w:rsidR="00A33E8D" w:rsidRPr="009C3063" w:rsidRDefault="00A33E8D" w:rsidP="00A14F62">
      <w:pPr>
        <w:rPr>
          <w:sz w:val="18"/>
        </w:rPr>
      </w:pPr>
    </w:p>
    <w:sectPr w:rsidR="00A33E8D" w:rsidRPr="009C3063" w:rsidSect="0002070C">
      <w:headerReference w:type="first" r:id="rId22"/>
      <w:footerReference w:type="first" r:id="rId23"/>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C66" w:rsidRDefault="00B93C66" w:rsidP="0002070C">
      <w:r>
        <w:separator/>
      </w:r>
    </w:p>
  </w:endnote>
  <w:endnote w:type="continuationSeparator" w:id="0">
    <w:p w:rsidR="00B93C66" w:rsidRDefault="00B93C66"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B19D2831-5DBA-4F1F-8EA1-C9A3EBE8C014}"/>
    <w:embedBold r:id="rId2" w:fontKey="{1CF7E915-2081-4EFB-9745-A276EA6EA901}"/>
    <w:embedItalic r:id="rId3" w:fontKey="{7AB28A9B-D457-46AB-8491-197676188DDD}"/>
  </w:font>
  <w:font w:name="Encode Sans ExpandedSemiBold">
    <w:panose1 w:val="00000000000000000000"/>
    <w:charset w:val="00"/>
    <w:family w:val="auto"/>
    <w:pitch w:val="variable"/>
    <w:sig w:usb0="A00000FF" w:usb1="4000207B" w:usb2="00000000" w:usb3="00000000" w:csb0="00000193" w:csb1="00000000"/>
    <w:embedRegular r:id="rId4" w:fontKey="{9C04776A-3428-4E48-8285-E4DC4213B049}"/>
    <w:embedItalic r:id="rId5" w:fontKey="{E2832096-067C-4344-9219-C49E01B0E54E}"/>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embedBold r:id="rId6" w:subsetted="1" w:fontKey="{DA79D175-ED9F-4436-B57C-9FC2CD2FD84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6F4" w:rsidRPr="00F046F4" w:rsidRDefault="00F046F4">
    <w:pPr>
      <w:pStyle w:val="Footer"/>
      <w:rPr>
        <w:i/>
      </w:rPr>
    </w:pPr>
    <w:r>
      <w:t>*</w:t>
    </w:r>
    <w:r w:rsidRPr="00F046F4">
      <w:rPr>
        <w:i/>
      </w:rPr>
      <w:t>Robins &amp; Day, la filiale britannique de Robins &amp; D</w:t>
    </w:r>
    <w:r w:rsidR="00F5330A">
      <w:rPr>
        <w:i/>
      </w:rPr>
      <w:t>ay changera de nom sous un an, à</w:t>
    </w:r>
    <w:r w:rsidRPr="00F046F4">
      <w:rPr>
        <w:i/>
      </w:rPr>
      <w:t xml:space="preserve"> l’issue d’une période de transition.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C66" w:rsidRDefault="00B93C66" w:rsidP="0002070C">
      <w:r>
        <w:separator/>
      </w:r>
    </w:p>
  </w:footnote>
  <w:footnote w:type="continuationSeparator" w:id="0">
    <w:p w:rsidR="00B93C66" w:rsidRDefault="00B93C66"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02070C">
    <w:r w:rsidRPr="00A33E8D">
      <w:rPr>
        <w:noProof/>
        <w:lang w:val="en-US"/>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2C46" w:rsidRPr="00D56439" w:rsidRDefault="003E2C46" w:rsidP="003E2C46">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p w:rsidR="00A33E8D" w:rsidRPr="00683765" w:rsidRDefault="00A33E8D" w:rsidP="00297094">
                            <w:pPr>
                              <w:pStyle w:val="SPRESSRELEASE-TITLE"/>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3E2C46" w:rsidRPr="00D56439" w:rsidRDefault="003E2C46" w:rsidP="003E2C46">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p w:rsidR="00A33E8D" w:rsidRPr="00683765" w:rsidRDefault="00A33E8D" w:rsidP="00297094">
                      <w:pPr>
                        <w:pStyle w:val="SPRESSRELEASE-TITLE"/>
                      </w:pPr>
                    </w:p>
                  </w:txbxContent>
                </v:textbox>
              </v:shape>
              <w10:wrap anchorx="page" anchory="page"/>
              <w10:anchorlock/>
            </v:group>
          </w:pict>
        </mc:Fallback>
      </mc:AlternateContent>
    </w:r>
    <w:r w:rsidR="005F2120">
      <w:rPr>
        <w:noProof/>
        <w:lang w:val="en-US"/>
      </w:rPr>
      <w:drawing>
        <wp:inline distT="0" distB="0" distL="0" distR="0" wp14:anchorId="1F04AB1E" wp14:editId="11256742">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CF"/>
    <w:rsid w:val="00000BC0"/>
    <w:rsid w:val="0002070C"/>
    <w:rsid w:val="0002217B"/>
    <w:rsid w:val="00024492"/>
    <w:rsid w:val="00025506"/>
    <w:rsid w:val="0004195C"/>
    <w:rsid w:val="00056B17"/>
    <w:rsid w:val="00085213"/>
    <w:rsid w:val="00087566"/>
    <w:rsid w:val="00087FF0"/>
    <w:rsid w:val="000C18FF"/>
    <w:rsid w:val="00122C64"/>
    <w:rsid w:val="00190445"/>
    <w:rsid w:val="001B4263"/>
    <w:rsid w:val="001B591C"/>
    <w:rsid w:val="001D160E"/>
    <w:rsid w:val="001E3A5D"/>
    <w:rsid w:val="001E7847"/>
    <w:rsid w:val="001F3B8E"/>
    <w:rsid w:val="00201CEE"/>
    <w:rsid w:val="00220B6B"/>
    <w:rsid w:val="002836DD"/>
    <w:rsid w:val="00293E0C"/>
    <w:rsid w:val="00297094"/>
    <w:rsid w:val="002C508D"/>
    <w:rsid w:val="002F18EC"/>
    <w:rsid w:val="003369FE"/>
    <w:rsid w:val="00356B04"/>
    <w:rsid w:val="0036017D"/>
    <w:rsid w:val="003864AD"/>
    <w:rsid w:val="00395B9A"/>
    <w:rsid w:val="003A6735"/>
    <w:rsid w:val="003C348E"/>
    <w:rsid w:val="003E2C46"/>
    <w:rsid w:val="003E68CC"/>
    <w:rsid w:val="003F5D47"/>
    <w:rsid w:val="00400B91"/>
    <w:rsid w:val="004022B4"/>
    <w:rsid w:val="00411411"/>
    <w:rsid w:val="00425677"/>
    <w:rsid w:val="0042577F"/>
    <w:rsid w:val="00430F20"/>
    <w:rsid w:val="00433EDD"/>
    <w:rsid w:val="004345F9"/>
    <w:rsid w:val="0044219E"/>
    <w:rsid w:val="0045216F"/>
    <w:rsid w:val="004766F7"/>
    <w:rsid w:val="004A2B09"/>
    <w:rsid w:val="004B5BE7"/>
    <w:rsid w:val="004D61EA"/>
    <w:rsid w:val="00515C12"/>
    <w:rsid w:val="00527773"/>
    <w:rsid w:val="00537DB3"/>
    <w:rsid w:val="00544345"/>
    <w:rsid w:val="005571BE"/>
    <w:rsid w:val="005708BD"/>
    <w:rsid w:val="005774B1"/>
    <w:rsid w:val="00584D42"/>
    <w:rsid w:val="005C1F23"/>
    <w:rsid w:val="005C5158"/>
    <w:rsid w:val="005C775F"/>
    <w:rsid w:val="005F2120"/>
    <w:rsid w:val="0060102E"/>
    <w:rsid w:val="006074EF"/>
    <w:rsid w:val="00613FB1"/>
    <w:rsid w:val="0061682B"/>
    <w:rsid w:val="006279C9"/>
    <w:rsid w:val="006338ED"/>
    <w:rsid w:val="00646166"/>
    <w:rsid w:val="00655A10"/>
    <w:rsid w:val="00661A87"/>
    <w:rsid w:val="00663334"/>
    <w:rsid w:val="00675B12"/>
    <w:rsid w:val="00682310"/>
    <w:rsid w:val="00683765"/>
    <w:rsid w:val="00683B2B"/>
    <w:rsid w:val="006B0549"/>
    <w:rsid w:val="006B5C7E"/>
    <w:rsid w:val="006C7078"/>
    <w:rsid w:val="006E27BF"/>
    <w:rsid w:val="006F3D5A"/>
    <w:rsid w:val="00715647"/>
    <w:rsid w:val="00716893"/>
    <w:rsid w:val="00730F85"/>
    <w:rsid w:val="00736170"/>
    <w:rsid w:val="00776357"/>
    <w:rsid w:val="007A255F"/>
    <w:rsid w:val="007A46E2"/>
    <w:rsid w:val="007B700E"/>
    <w:rsid w:val="007C0DCF"/>
    <w:rsid w:val="007E317D"/>
    <w:rsid w:val="007E49CE"/>
    <w:rsid w:val="007E4C1F"/>
    <w:rsid w:val="0080313B"/>
    <w:rsid w:val="00805FAA"/>
    <w:rsid w:val="008124BD"/>
    <w:rsid w:val="00815B14"/>
    <w:rsid w:val="008271E0"/>
    <w:rsid w:val="0082786D"/>
    <w:rsid w:val="00837340"/>
    <w:rsid w:val="00844956"/>
    <w:rsid w:val="0085397B"/>
    <w:rsid w:val="00854598"/>
    <w:rsid w:val="0086416D"/>
    <w:rsid w:val="00877117"/>
    <w:rsid w:val="008839F1"/>
    <w:rsid w:val="00885B22"/>
    <w:rsid w:val="008B02AC"/>
    <w:rsid w:val="008B0D4F"/>
    <w:rsid w:val="008B4CD5"/>
    <w:rsid w:val="008D44BB"/>
    <w:rsid w:val="008E58FE"/>
    <w:rsid w:val="008F0F07"/>
    <w:rsid w:val="008F2A13"/>
    <w:rsid w:val="008F550D"/>
    <w:rsid w:val="00921859"/>
    <w:rsid w:val="00976BFF"/>
    <w:rsid w:val="00992BE1"/>
    <w:rsid w:val="009968C5"/>
    <w:rsid w:val="009A23AB"/>
    <w:rsid w:val="009C249E"/>
    <w:rsid w:val="009C3063"/>
    <w:rsid w:val="009D180E"/>
    <w:rsid w:val="009D2071"/>
    <w:rsid w:val="009F2D88"/>
    <w:rsid w:val="009F6D03"/>
    <w:rsid w:val="00A14F62"/>
    <w:rsid w:val="00A33E8D"/>
    <w:rsid w:val="00A36A20"/>
    <w:rsid w:val="00A51B6A"/>
    <w:rsid w:val="00A71966"/>
    <w:rsid w:val="00A75948"/>
    <w:rsid w:val="00A87390"/>
    <w:rsid w:val="00A97846"/>
    <w:rsid w:val="00AE0E14"/>
    <w:rsid w:val="00AE2FAF"/>
    <w:rsid w:val="00AE4BA0"/>
    <w:rsid w:val="00AF4CE0"/>
    <w:rsid w:val="00B02391"/>
    <w:rsid w:val="00B207EB"/>
    <w:rsid w:val="00B215F3"/>
    <w:rsid w:val="00B246BF"/>
    <w:rsid w:val="00B32F4C"/>
    <w:rsid w:val="00B34FD3"/>
    <w:rsid w:val="00B64F18"/>
    <w:rsid w:val="00B70324"/>
    <w:rsid w:val="00B8686A"/>
    <w:rsid w:val="00B92FB1"/>
    <w:rsid w:val="00B93C66"/>
    <w:rsid w:val="00B9727D"/>
    <w:rsid w:val="00BC5305"/>
    <w:rsid w:val="00BD2ADB"/>
    <w:rsid w:val="00BD7001"/>
    <w:rsid w:val="00BE6DB5"/>
    <w:rsid w:val="00C10E75"/>
    <w:rsid w:val="00C21B90"/>
    <w:rsid w:val="00C31F14"/>
    <w:rsid w:val="00C508B7"/>
    <w:rsid w:val="00C60A64"/>
    <w:rsid w:val="00C63CC0"/>
    <w:rsid w:val="00C860F4"/>
    <w:rsid w:val="00CA3356"/>
    <w:rsid w:val="00D00BDF"/>
    <w:rsid w:val="00D22355"/>
    <w:rsid w:val="00D265D9"/>
    <w:rsid w:val="00D35611"/>
    <w:rsid w:val="00D5456A"/>
    <w:rsid w:val="00D54C2A"/>
    <w:rsid w:val="00D57C97"/>
    <w:rsid w:val="00D87F2C"/>
    <w:rsid w:val="00DA27E1"/>
    <w:rsid w:val="00DC6808"/>
    <w:rsid w:val="00DE72B9"/>
    <w:rsid w:val="00DF4282"/>
    <w:rsid w:val="00DF6BDB"/>
    <w:rsid w:val="00E121B5"/>
    <w:rsid w:val="00E21673"/>
    <w:rsid w:val="00E23B0D"/>
    <w:rsid w:val="00E362EA"/>
    <w:rsid w:val="00E4210D"/>
    <w:rsid w:val="00E47347"/>
    <w:rsid w:val="00E613A1"/>
    <w:rsid w:val="00E747DB"/>
    <w:rsid w:val="00E76F50"/>
    <w:rsid w:val="00E91808"/>
    <w:rsid w:val="00EA42D8"/>
    <w:rsid w:val="00EB6AB1"/>
    <w:rsid w:val="00ED670D"/>
    <w:rsid w:val="00EE1EDD"/>
    <w:rsid w:val="00EE1FA0"/>
    <w:rsid w:val="00EE3FBB"/>
    <w:rsid w:val="00EF1479"/>
    <w:rsid w:val="00F046F4"/>
    <w:rsid w:val="00F116EE"/>
    <w:rsid w:val="00F23346"/>
    <w:rsid w:val="00F5284E"/>
    <w:rsid w:val="00F5330A"/>
    <w:rsid w:val="00F74B70"/>
    <w:rsid w:val="00F81BAE"/>
    <w:rsid w:val="00FA217D"/>
    <w:rsid w:val="00FB262C"/>
    <w:rsid w:val="00FB2C4C"/>
    <w:rsid w:val="00FB4171"/>
    <w:rsid w:val="00FD087F"/>
    <w:rsid w:val="00FD6CFC"/>
    <w:rsid w:val="00FE5E16"/>
    <w:rsid w:val="00FE6E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AAC0FC"/>
  <w15:chartTrackingRefBased/>
  <w15:docId w15:val="{2F36F0F4-F6DC-4EF8-9480-96EBAF6C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C4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
    <w:qFormat/>
    <w:rsid w:val="00025506"/>
    <w:rPr>
      <w:i/>
    </w:rPr>
  </w:style>
  <w:style w:type="table" w:customStyle="1" w:styleId="Grilledutableau2">
    <w:name w:val="Grille du tableau2"/>
    <w:basedOn w:val="TableNormal"/>
    <w:next w:val="TableGrid"/>
    <w:uiPriority w:val="39"/>
    <w:rsid w:val="003E2C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ellantis" TargetMode="External"/><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elationpress@stellantis.com"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linkedin.com/company/Stellantis" TargetMode="External"/><Relationship Id="rId20" Type="http://schemas.openxmlformats.org/officeDocument/2006/relationships/hyperlink" Target="mailto:marc.bocque@stellant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hyperlink" Target="https://twitter.com/stellantis" TargetMode="External"/><Relationship Id="rId19" Type="http://schemas.openxmlformats.org/officeDocument/2006/relationships/hyperlink" Target="https://www.youtube.com/channel/UCKgSLvI1SYKOTpEToycAz7Q"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P927323\STELLANTIS%20Com%20Corporate\2021mmjj_CP_Stellantis_Communiqu&#233;_de_Presse_A4_V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3B7A1ACD064C6092B3B8FAB5D6FA73"/>
        <w:category>
          <w:name w:val="General"/>
          <w:gallery w:val="placeholder"/>
        </w:category>
        <w:types>
          <w:type w:val="bbPlcHdr"/>
        </w:types>
        <w:behaviors>
          <w:behavior w:val="content"/>
        </w:behaviors>
        <w:guid w:val="{F8252C7D-99C3-48EE-9AE2-7B41F009CBD9}"/>
      </w:docPartPr>
      <w:docPartBody>
        <w:p w:rsidR="008025EE" w:rsidRDefault="00D2066B" w:rsidP="00D2066B">
          <w:pPr>
            <w:pStyle w:val="113B7A1ACD064C6092B3B8FAB5D6FA73"/>
          </w:pPr>
          <w:r w:rsidRPr="0086416D">
            <w:rPr>
              <w:rStyle w:val="PlaceholderText"/>
              <w:b/>
              <w:color w:val="44546A" w:themeColor="text2"/>
            </w:rPr>
            <w:t>First name LAST NAME</w:t>
          </w:r>
        </w:p>
      </w:docPartBody>
    </w:docPart>
    <w:docPart>
      <w:docPartPr>
        <w:name w:val="6169805FD7614595876EADF50B552E10"/>
        <w:category>
          <w:name w:val="General"/>
          <w:gallery w:val="placeholder"/>
        </w:category>
        <w:types>
          <w:type w:val="bbPlcHdr"/>
        </w:types>
        <w:behaviors>
          <w:behavior w:val="content"/>
        </w:behaviors>
        <w:guid w:val="{B592ED6D-E048-4ED2-AA3E-F4DE9501B8A9}"/>
      </w:docPartPr>
      <w:docPartBody>
        <w:p w:rsidR="008025EE" w:rsidRDefault="00D2066B" w:rsidP="00D2066B">
          <w:pPr>
            <w:pStyle w:val="6169805FD7614595876EADF50B552E1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68"/>
    <w:rsid w:val="00025C3D"/>
    <w:rsid w:val="00104F80"/>
    <w:rsid w:val="0040111E"/>
    <w:rsid w:val="0041482D"/>
    <w:rsid w:val="00440B68"/>
    <w:rsid w:val="00491306"/>
    <w:rsid w:val="004B7178"/>
    <w:rsid w:val="00617664"/>
    <w:rsid w:val="006E5A3D"/>
    <w:rsid w:val="007B41E3"/>
    <w:rsid w:val="008025EE"/>
    <w:rsid w:val="009F60BC"/>
    <w:rsid w:val="00AB5C03"/>
    <w:rsid w:val="00D2066B"/>
    <w:rsid w:val="00DC4210"/>
    <w:rsid w:val="00F56D1C"/>
    <w:rsid w:val="00FD7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66B"/>
    <w:rPr>
      <w:color w:val="808080"/>
    </w:rPr>
  </w:style>
  <w:style w:type="paragraph" w:customStyle="1" w:styleId="6F2C51C090C94C3C91C9BCCA1701C875">
    <w:name w:val="6F2C51C090C94C3C91C9BCCA1701C875"/>
  </w:style>
  <w:style w:type="paragraph" w:customStyle="1" w:styleId="7AA80AA284484C48B8B999623AE4AEC9">
    <w:name w:val="7AA80AA284484C48B8B999623AE4AEC9"/>
  </w:style>
  <w:style w:type="paragraph" w:customStyle="1" w:styleId="B2364C3CBFF248E1B953D5F0077684CC">
    <w:name w:val="B2364C3CBFF248E1B953D5F0077684CC"/>
  </w:style>
  <w:style w:type="paragraph" w:customStyle="1" w:styleId="28A3BA0EE4A14C8FBD5CE293CA333435">
    <w:name w:val="28A3BA0EE4A14C8FBD5CE293CA333435"/>
  </w:style>
  <w:style w:type="paragraph" w:customStyle="1" w:styleId="00505A1542D742089527CC79824AE48A">
    <w:name w:val="00505A1542D742089527CC79824AE48A"/>
  </w:style>
  <w:style w:type="paragraph" w:customStyle="1" w:styleId="039F3A7DCF2C48F4B5CB60FD4CB0DD96">
    <w:name w:val="039F3A7DCF2C48F4B5CB60FD4CB0DD96"/>
  </w:style>
  <w:style w:type="paragraph" w:customStyle="1" w:styleId="5B3844908B014BF795D242909B12494A">
    <w:name w:val="5B3844908B014BF795D242909B12494A"/>
  </w:style>
  <w:style w:type="paragraph" w:customStyle="1" w:styleId="88CE79937390458E9D9909599AFDC7A2">
    <w:name w:val="88CE79937390458E9D9909599AFDC7A2"/>
  </w:style>
  <w:style w:type="paragraph" w:customStyle="1" w:styleId="52ADCC4E25184330A3C28E401CFE5B3F">
    <w:name w:val="52ADCC4E25184330A3C28E401CFE5B3F"/>
  </w:style>
  <w:style w:type="paragraph" w:customStyle="1" w:styleId="C13FC1284F8D40ACA050012DEAA7CCA1">
    <w:name w:val="C13FC1284F8D40ACA050012DEAA7CCA1"/>
    <w:rsid w:val="00440B68"/>
  </w:style>
  <w:style w:type="paragraph" w:customStyle="1" w:styleId="DF19299D2DC8404A9C56F5466E6D6523">
    <w:name w:val="DF19299D2DC8404A9C56F5466E6D6523"/>
    <w:rsid w:val="00440B68"/>
  </w:style>
  <w:style w:type="paragraph" w:customStyle="1" w:styleId="EB1A272F30704AA2B66426ED30C34F2F">
    <w:name w:val="EB1A272F30704AA2B66426ED30C34F2F"/>
    <w:rsid w:val="00440B68"/>
  </w:style>
  <w:style w:type="paragraph" w:customStyle="1" w:styleId="89839E1B34B940F3B8CA0607FB304DB2">
    <w:name w:val="89839E1B34B940F3B8CA0607FB304DB2"/>
    <w:rsid w:val="00440B68"/>
  </w:style>
  <w:style w:type="paragraph" w:customStyle="1" w:styleId="4D21E5F0ED5E47F784CB3A621C92BDF3">
    <w:name w:val="4D21E5F0ED5E47F784CB3A621C92BDF3"/>
    <w:rsid w:val="00440B68"/>
  </w:style>
  <w:style w:type="paragraph" w:customStyle="1" w:styleId="D63AC5FC52BC4FFBAD76AC778B348CB8">
    <w:name w:val="D63AC5FC52BC4FFBAD76AC778B348CB8"/>
    <w:rsid w:val="00440B68"/>
  </w:style>
  <w:style w:type="paragraph" w:customStyle="1" w:styleId="C52AB22B093C4D9883AF1534E65B86A4">
    <w:name w:val="C52AB22B093C4D9883AF1534E65B86A4"/>
    <w:rsid w:val="00440B68"/>
  </w:style>
  <w:style w:type="paragraph" w:customStyle="1" w:styleId="F2B9184906354803A5AD1D76FB9E24D0">
    <w:name w:val="F2B9184906354803A5AD1D76FB9E24D0"/>
    <w:rsid w:val="00440B68"/>
  </w:style>
  <w:style w:type="paragraph" w:customStyle="1" w:styleId="55EC5FB2DD8E4426A2CEE39A42B8D922">
    <w:name w:val="55EC5FB2DD8E4426A2CEE39A42B8D922"/>
    <w:rsid w:val="00440B68"/>
  </w:style>
  <w:style w:type="paragraph" w:customStyle="1" w:styleId="2E5B16E7D68C4DD39387512D081156BF">
    <w:name w:val="2E5B16E7D68C4DD39387512D081156BF"/>
    <w:rsid w:val="00440B68"/>
  </w:style>
  <w:style w:type="paragraph" w:customStyle="1" w:styleId="113B7A1ACD064C6092B3B8FAB5D6FA73">
    <w:name w:val="113B7A1ACD064C6092B3B8FAB5D6FA73"/>
    <w:rsid w:val="00D2066B"/>
    <w:rPr>
      <w:lang w:val="en-US" w:eastAsia="en-US"/>
    </w:rPr>
  </w:style>
  <w:style w:type="paragraph" w:customStyle="1" w:styleId="6169805FD7614595876EADF50B552E10">
    <w:name w:val="6169805FD7614595876EADF50B552E10"/>
    <w:rsid w:val="00D2066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80A9C-70CE-499A-AE00-7278AD32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2021mmjj_CP_Stellantis_Communiqué_de_Presse_A4_VF.dotx</Template>
  <TotalTime>0</TotalTime>
  <Pages>3</Pages>
  <Words>860</Words>
  <Characters>4907</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A4</vt:lpstr>
      <vt:lpstr>Press Release A4</vt:lpstr>
    </vt:vector>
  </TitlesOfParts>
  <Company>Stellantis</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MARC BOCQUE - P927323</dc:creator>
  <cp:keywords/>
  <dc:description/>
  <cp:lastModifiedBy>Connelly Kaileen (FCA)</cp:lastModifiedBy>
  <cp:revision>2</cp:revision>
  <cp:lastPrinted>2021-01-20T13:02:00Z</cp:lastPrinted>
  <dcterms:created xsi:type="dcterms:W3CDTF">2021-11-09T10:21:00Z</dcterms:created>
  <dcterms:modified xsi:type="dcterms:W3CDTF">2021-11-09T10:21:00Z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2021-02-03T11:46:36Z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1f4d9d8a-d7b0-4c13-a013-dafb8b9e57fb</vt:lpwstr>
  </property>
  <property fmtid="{D5CDD505-2E9C-101B-9397-08002B2CF9AE}" pid="8" name="MSIP_Label_2fd53d93-3f4c-4b90-b511-bd6bdbb4fba9_ContentBits">
    <vt:lpwstr>0</vt:lpwstr>
  </property>
</Properties>
</file>