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3840" w:rsidRDefault="003B2328">
      <w:pPr>
        <w:pStyle w:val="SSubject"/>
        <w:spacing w:before="0" w:after="0"/>
        <w:contextualSpacing w:val="0"/>
        <w:jc w:val="both"/>
        <w:rPr>
          <w:rFonts w:ascii="Encode Sans SemiBold" w:hAnsi="Encode Sans SemiBold"/>
          <w:bCs w:val="0"/>
          <w:noProof w:val="0"/>
          <w:szCs w:val="18"/>
          <w:lang w:val="en-GB"/>
        </w:rPr>
      </w:pPr>
      <w:r>
        <w:rPr>
          <w:rFonts w:ascii="Encode Sans SemiBold" w:hAnsi="Encode Sans SemiBold"/>
          <w:bCs w:val="0"/>
          <w:szCs w:val="18"/>
          <w:lang w:val="it-IT" w:eastAsia="it-IT"/>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Freeform 27" o:spid="_x0000_s1025" style="width:33.85pt;height:5.05pt;margin-top:133.2pt;margin-left:0;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top;z-index:251659264" coordsize="354,39" path="m329,39l,39,27,,354,,329,39xe" fillcolor="#243782" stroked="f">
                <v:path arrowok="t" o:connecttype="custom" o:connectlocs="399417,64008;0,64008;32779,0;429768,0;399417,64008" o:connectangles="0,0,0,0,0"/>
                <w10:wrap anchorx="margin"/>
                <w10:anchorlock/>
              </v:shape>
            </w:pict>
          </mc:Fallback>
        </mc:AlternateContent>
      </w:r>
    </w:p>
    <w:p w:rsidR="004B3840" w:rsidRDefault="004B3840">
      <w:pPr>
        <w:pStyle w:val="OpelHeadlineArial"/>
        <w:rPr>
          <w:rFonts w:cs="Arial"/>
          <w:lang w:val="en-GB"/>
        </w:rPr>
      </w:pPr>
    </w:p>
    <w:p w:rsidR="004B3840" w:rsidRDefault="003B2328">
      <w:pPr>
        <w:pStyle w:val="SSubject"/>
        <w:spacing w:before="0" w:after="0"/>
        <w:contextualSpacing w:val="0"/>
        <w:jc w:val="both"/>
        <w:rPr>
          <w:rFonts w:ascii="Encode Sans SemiBold" w:hAnsi="Encode Sans SemiBold"/>
          <w:bCs w:val="0"/>
          <w:szCs w:val="18"/>
        </w:rPr>
      </w:pPr>
      <w:r>
        <w:rPr>
          <w:rFonts w:ascii="Encode Sans SemiBold" w:hAnsi="Encode Sans SemiBold"/>
          <w:bCs w:val="0"/>
          <w:szCs w:val="18"/>
        </w:rPr>
        <w:t>Conditional distribution of Faurecia shares and cash approved by shareholders</w:t>
      </w:r>
    </w:p>
    <w:p w:rsidR="004B3840" w:rsidRDefault="004B3840">
      <w:pPr>
        <w:rPr>
          <w:rFonts w:cs="Arial"/>
          <w:b/>
          <w:sz w:val="22"/>
        </w:rPr>
      </w:pPr>
    </w:p>
    <w:p w:rsidR="004B3840" w:rsidRDefault="006477B4">
      <w:pPr>
        <w:rPr>
          <w:rFonts w:ascii="Encode Sans ExpandedLight" w:hAnsi="Encode Sans ExpandedLight"/>
          <w:sz w:val="21"/>
          <w:szCs w:val="21"/>
        </w:rPr>
      </w:pPr>
      <w:proofErr w:type="gramStart"/>
      <w:r>
        <w:rPr>
          <w:rFonts w:ascii="Encode Sans ExpandedLight" w:hAnsi="Encode Sans ExpandedLight"/>
          <w:sz w:val="21"/>
          <w:szCs w:val="21"/>
        </w:rPr>
        <w:t>Amsterdam, March 8</w:t>
      </w:r>
      <w:r w:rsidR="003B2328">
        <w:rPr>
          <w:rFonts w:ascii="Encode Sans ExpandedLight" w:hAnsi="Encode Sans ExpandedLight"/>
          <w:sz w:val="21"/>
          <w:szCs w:val="21"/>
        </w:rPr>
        <w:t xml:space="preserve">, 2021 – Stellantis N.V. (NYSE / MTA / Euronext Paris: STLA) (“Stellantis”) announces that the Extraordinary General Meeting of Shareholders held today has approved the </w:t>
      </w:r>
      <w:r w:rsidR="0043483E">
        <w:rPr>
          <w:rFonts w:ascii="Encode Sans ExpandedLight" w:hAnsi="Encode Sans ExpandedLight"/>
          <w:sz w:val="21"/>
          <w:szCs w:val="21"/>
        </w:rPr>
        <w:t xml:space="preserve">already </w:t>
      </w:r>
      <w:r w:rsidR="003B2328">
        <w:rPr>
          <w:rFonts w:ascii="Encode Sans ExpandedLight" w:hAnsi="Encode Sans ExpandedLight"/>
          <w:sz w:val="21"/>
          <w:szCs w:val="21"/>
        </w:rPr>
        <w:t>announced conditional distribution (the “Distribution”), pursuant to a capital reduction, by Stellantis to the holders of its common shares of up to 54,297,006 ordinary shares of Faurecia S.E. (“Faurecia”) and up to €308 million in cash, being the proceeds received by Peugeot S.A. from the sale of ordinary shares of Faurecia in October 2020.</w:t>
      </w:r>
      <w:proofErr w:type="gramEnd"/>
    </w:p>
    <w:p w:rsidR="004B3840" w:rsidRDefault="003B2328">
      <w:pPr>
        <w:rPr>
          <w:rFonts w:ascii="Encode Sans ExpandedLight" w:hAnsi="Encode Sans ExpandedLight"/>
          <w:sz w:val="21"/>
          <w:szCs w:val="21"/>
        </w:rPr>
      </w:pPr>
      <w:r>
        <w:rPr>
          <w:rFonts w:ascii="Encode Sans ExpandedLight" w:hAnsi="Encode Sans ExpandedLight"/>
          <w:sz w:val="21"/>
          <w:szCs w:val="21"/>
        </w:rPr>
        <w:t xml:space="preserve">Payment of the Distribution remains conditional upon the further announcement, which is expected to occur in the next few </w:t>
      </w:r>
      <w:proofErr w:type="gramStart"/>
      <w:r>
        <w:rPr>
          <w:rFonts w:ascii="Encode Sans ExpandedLight" w:hAnsi="Encode Sans ExpandedLight"/>
          <w:sz w:val="21"/>
          <w:szCs w:val="21"/>
        </w:rPr>
        <w:t>days, that</w:t>
      </w:r>
      <w:proofErr w:type="gramEnd"/>
      <w:r>
        <w:rPr>
          <w:rFonts w:ascii="Encode Sans ExpandedLight" w:hAnsi="Encode Sans ExpandedLight"/>
          <w:sz w:val="21"/>
          <w:szCs w:val="21"/>
        </w:rPr>
        <w:t xml:space="preserve"> certain Dutch law formalities have been complied with. Absent such announcement that the Distribution has become unconditional, no Distribution will be payable.</w:t>
      </w:r>
    </w:p>
    <w:p w:rsidR="004B3840" w:rsidRDefault="003B2328">
      <w:pPr>
        <w:rPr>
          <w:rFonts w:ascii="Encode Sans ExpandedLight" w:hAnsi="Encode Sans ExpandedLight"/>
          <w:sz w:val="21"/>
          <w:szCs w:val="21"/>
        </w:rPr>
      </w:pPr>
      <w:r>
        <w:rPr>
          <w:rFonts w:ascii="Encode Sans ExpandedLight" w:hAnsi="Encode Sans ExpandedLight"/>
          <w:sz w:val="21"/>
          <w:szCs w:val="21"/>
        </w:rPr>
        <w:t>Additional information related to the Distribution has been made available on the Investors section of the website of Stellantis at www.stellantis.com, including an Information Statement available at www.stellantis.com/en/investors/stock-and-shareholder-info/egm-8-march-2021 and submitted to the U.S. Securities and Exchange Commission on Form 6-K on March 5, 2021.</w:t>
      </w:r>
    </w:p>
    <w:p w:rsidR="004B3840" w:rsidRDefault="003B2328">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cs="Calibri"/>
          <w:i/>
          <w:color w:val="243782" w:themeColor="text2"/>
          <w:sz w:val="18"/>
          <w:szCs w:val="22"/>
        </w:rPr>
        <w:t>About Stellantis</w:t>
      </w:r>
    </w:p>
    <w:p w:rsidR="004B3840" w:rsidRDefault="003B2328">
      <w:pPr>
        <w:spacing w:after="160" w:line="259" w:lineRule="auto"/>
        <w:rPr>
          <w:rFonts w:ascii="Encode Sans ExpandedLight" w:eastAsia="Calibri" w:hAnsi="Encode Sans ExpandedLight" w:cs="Calibri"/>
          <w:i/>
          <w:color w:val="1F497D"/>
          <w:sz w:val="18"/>
          <w:szCs w:val="22"/>
          <w:lang w:val="en-GB"/>
        </w:rPr>
      </w:pPr>
      <w:r>
        <w:rPr>
          <w:rStyle w:val="Collegamentoipertestuale"/>
          <w:rFonts w:ascii="Encode Sans ExpandedLight" w:hAnsi="Encode Sans ExpandedLight" w:cs="Calibri"/>
          <w:b/>
          <w:i/>
          <w:sz w:val="18"/>
        </w:rPr>
        <w:t>Stellantis</w:t>
      </w:r>
      <w:r>
        <w:rPr>
          <w:szCs w:val="22"/>
        </w:rPr>
        <w:t xml:space="preserve"> </w:t>
      </w:r>
      <w:r>
        <w:rPr>
          <w:rFonts w:ascii="Encode Sans ExpandedLight" w:hAnsi="Encode Sans ExpandedLight" w:cs="Calibri"/>
          <w:i/>
          <w:sz w:val="18"/>
          <w:szCs w:val="22"/>
        </w:rPr>
        <w:t>is</w:t>
      </w:r>
      <w:r>
        <w:rPr>
          <w:rFonts w:ascii="Encode Sans ExpandedLight" w:hAnsi="Encode Sans ExpandedLight"/>
          <w:color w:val="1F497D"/>
        </w:rPr>
        <w:t xml:space="preserve"> </w:t>
      </w:r>
      <w:r>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t>
      </w:r>
      <w:proofErr w:type="gramStart"/>
      <w:r>
        <w:rPr>
          <w:rFonts w:ascii="Encode Sans ExpandedLight" w:hAnsi="Encode Sans ExpandedLight" w:cs="Calibri"/>
          <w:i/>
          <w:sz w:val="18"/>
          <w:szCs w:val="22"/>
        </w:rPr>
        <w:t>was founded</w:t>
      </w:r>
      <w:proofErr w:type="gramEnd"/>
      <w:r>
        <w:rPr>
          <w:rFonts w:ascii="Encode Sans ExpandedLight" w:hAnsi="Encode Sans ExpandedLight" w:cs="Calibri"/>
          <w:i/>
          <w:sz w:val="18"/>
          <w:szCs w:val="22"/>
        </w:rPr>
        <w:t xml:space="preserve"> by visionaries who infused the marques with passion and a competitive spirit that speaks to employees and customers alike. Stellantis aspires to become the greatest, not the biggest while creating </w:t>
      </w:r>
      <w:proofErr w:type="gramStart"/>
      <w:r>
        <w:rPr>
          <w:rFonts w:ascii="Encode Sans ExpandedLight" w:hAnsi="Encode Sans ExpandedLight" w:cs="Calibri"/>
          <w:i/>
          <w:sz w:val="18"/>
          <w:szCs w:val="22"/>
        </w:rPr>
        <w:t>added value</w:t>
      </w:r>
      <w:proofErr w:type="gramEnd"/>
      <w:r>
        <w:rPr>
          <w:rFonts w:ascii="Encode Sans ExpandedLight" w:hAnsi="Encode Sans ExpandedLight" w:cs="Calibri"/>
          <w:i/>
          <w:sz w:val="18"/>
          <w:szCs w:val="22"/>
        </w:rPr>
        <w:t xml:space="preserv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4B3840">
        <w:tc>
          <w:tcPr>
            <w:tcW w:w="2265" w:type="dxa"/>
            <w:vAlign w:val="bottom"/>
          </w:tcPr>
          <w:p w:rsidR="004B3840" w:rsidRDefault="0086211E">
            <w:pPr>
              <w:jc w:val="center"/>
              <w:rPr>
                <w:rFonts w:ascii="Encode Sans ExpandedLight" w:eastAsia="Calibri" w:hAnsi="Encode Sans ExpandedLight" w:cs="Times New Roman"/>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v:imagedata r:id="rId8" o:title=""/>
                </v:shape>
              </w:pict>
            </w:r>
            <w:r w:rsidR="003B2328">
              <w:rPr>
                <w:rFonts w:ascii="Encode Sans ExpandedLight" w:eastAsia="Calibri" w:hAnsi="Encode Sans ExpandedLight" w:cs="Times New Roman"/>
                <w:sz w:val="20"/>
              </w:rPr>
              <w:t>@Stellantis</w:t>
            </w:r>
          </w:p>
        </w:tc>
        <w:tc>
          <w:tcPr>
            <w:tcW w:w="2265" w:type="dxa"/>
            <w:vAlign w:val="bottom"/>
          </w:tcPr>
          <w:p w:rsidR="004B3840" w:rsidRDefault="0086211E">
            <w:pPr>
              <w:jc w:val="center"/>
              <w:rPr>
                <w:rFonts w:ascii="Encode Sans ExpandedLight" w:eastAsia="Calibri" w:hAnsi="Encode Sans ExpandedLight" w:cs="Times New Roman"/>
              </w:rPr>
            </w:pPr>
            <w:r>
              <w:rPr>
                <w:szCs w:val="16"/>
              </w:rPr>
              <w:pict>
                <v:shape id="_x0000_i1026" type="#_x0000_t75" style="width:22.5pt;height:22.5pt">
                  <v:imagedata r:id="rId9" o:title=""/>
                </v:shape>
              </w:pict>
            </w:r>
            <w:r w:rsidR="003B2328">
              <w:rPr>
                <w:rFonts w:ascii="Encode Sans ExpandedLight" w:eastAsia="Calibri" w:hAnsi="Encode Sans ExpandedLight" w:cs="Times New Roman"/>
                <w:sz w:val="20"/>
              </w:rPr>
              <w:t>Stellantis</w:t>
            </w:r>
          </w:p>
        </w:tc>
        <w:tc>
          <w:tcPr>
            <w:tcW w:w="2266" w:type="dxa"/>
            <w:vAlign w:val="bottom"/>
          </w:tcPr>
          <w:p w:rsidR="004B3840" w:rsidRDefault="0086211E">
            <w:pPr>
              <w:jc w:val="center"/>
              <w:rPr>
                <w:rFonts w:ascii="Encode Sans ExpandedLight" w:eastAsia="Calibri" w:hAnsi="Encode Sans ExpandedLight" w:cs="Times New Roman"/>
              </w:rPr>
            </w:pPr>
            <w:r>
              <w:rPr>
                <w:szCs w:val="16"/>
              </w:rPr>
              <w:pict>
                <v:shape id="_x0000_i1027" type="#_x0000_t75" style="width:21pt;height:21pt">
                  <v:imagedata r:id="rId10" o:title=""/>
                </v:shape>
              </w:pict>
            </w:r>
            <w:r w:rsidR="003B2328">
              <w:rPr>
                <w:rFonts w:ascii="Encode Sans ExpandedLight" w:eastAsia="Calibri" w:hAnsi="Encode Sans ExpandedLight" w:cs="Times New Roman"/>
                <w:sz w:val="20"/>
              </w:rPr>
              <w:t>Stellantis</w:t>
            </w:r>
          </w:p>
        </w:tc>
        <w:tc>
          <w:tcPr>
            <w:tcW w:w="2266" w:type="dxa"/>
            <w:vAlign w:val="bottom"/>
          </w:tcPr>
          <w:p w:rsidR="004B3840" w:rsidRDefault="0086211E">
            <w:pPr>
              <w:jc w:val="center"/>
              <w:rPr>
                <w:rFonts w:ascii="Encode Sans ExpandedLight" w:eastAsia="Calibri" w:hAnsi="Encode Sans ExpandedLight" w:cs="Times New Roman"/>
              </w:rPr>
            </w:pPr>
            <w:r>
              <w:rPr>
                <w:szCs w:val="16"/>
              </w:rPr>
              <w:pict>
                <v:shape id="_x0000_i1028" type="#_x0000_t75" style="width:23.25pt;height:23.25pt">
                  <v:imagedata r:id="rId11" o:title=""/>
                </v:shape>
              </w:pict>
            </w:r>
            <w:r w:rsidR="003B2328">
              <w:rPr>
                <w:rFonts w:ascii="Encode Sans ExpandedLight" w:eastAsia="Calibri" w:hAnsi="Encode Sans ExpandedLight" w:cs="Times New Roman"/>
                <w:sz w:val="20"/>
              </w:rPr>
              <w:t>Stellantis</w:t>
            </w:r>
          </w:p>
        </w:tc>
      </w:tr>
    </w:tbl>
    <w:p w:rsidR="004B3840" w:rsidRDefault="004B3840">
      <w:pPr>
        <w:spacing w:after="0"/>
        <w:jc w:val="lef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4B3840">
        <w:trPr>
          <w:trHeight w:val="1276"/>
        </w:trPr>
        <w:tc>
          <w:tcPr>
            <w:tcW w:w="7936" w:type="dxa"/>
          </w:tcPr>
          <w:p w:rsidR="004B3840" w:rsidRDefault="003B2328">
            <w:pPr>
              <w:spacing w:after="360" w:line="288" w:lineRule="auto"/>
              <w:jc w:val="left"/>
              <w:rPr>
                <w:color w:val="243782" w:themeColor="text2"/>
                <w:sz w:val="20"/>
                <w:szCs w:val="20"/>
              </w:rPr>
            </w:pPr>
            <w:r>
              <w:rPr>
                <w:noProof/>
                <w:color w:val="243782" w:themeColor="text2"/>
                <w:sz w:val="20"/>
                <w:szCs w:val="20"/>
                <w:lang w:val="it-IT" w:eastAsia="it-IT"/>
              </w:rPr>
              <mc:AlternateContent>
                <mc:Choice Requires="wps">
                  <w:drawing>
                    <wp:inline distT="0" distB="0" distL="0" distR="0">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w16se="http://schemas.microsoft.com/office/word/2015/wordml/symex" xmlns:cx1="http://schemas.microsoft.com/office/drawing/2015/9/8/chartex" xmlns:cx="http://schemas.microsoft.com/office/drawing/2014/chartex">
                  <w:pict>
                    <v:shape id="Freeform 27" o:spid="_x0000_i1030" style="width:34pt;height:4.9pt;mso-left-percent:-10001;mso-position-horizontal-relative:char;mso-position-vertical-relative:line;mso-top-percent:-10001;mso-wrap-style:square;visibility:visible;v-text-anchor:top" coordsize="354,39" path="m329,39l,39,27,,354,,329,39xe" fillcolor="#243782" stroked="f">
                      <v:path arrowok="t" o:connecttype="custom" o:connectlocs="401492,61913;0,61913;32949,0;432000,0;401492,61913" o:connectangles="0,0,0,0,0"/>
                      <w10:wrap type="none"/>
                      <w10:anchorlock/>
                    </v:shape>
                  </w:pict>
                </mc:Fallback>
              </mc:AlternateContent>
            </w:r>
          </w:p>
          <w:p w:rsidR="004B3840" w:rsidRDefault="003B2328">
            <w:pPr>
              <w:spacing w:after="120" w:line="288" w:lineRule="auto"/>
              <w:jc w:val="left"/>
              <w:rPr>
                <w:rFonts w:ascii="Encode Sans SemiBold" w:hAnsi="Encode Sans SemiBold"/>
                <w:color w:val="243782" w:themeColor="text2"/>
                <w:sz w:val="20"/>
                <w:szCs w:val="20"/>
              </w:rPr>
            </w:pPr>
            <w:r>
              <w:rPr>
                <w:rFonts w:ascii="Encode Sans SemiBold" w:hAnsi="Encode Sans SemiBold"/>
                <w:color w:val="243782" w:themeColor="text2"/>
                <w:sz w:val="20"/>
                <w:szCs w:val="20"/>
              </w:rPr>
              <w:t>For more information contact:</w:t>
            </w:r>
          </w:p>
          <w:p w:rsidR="004B3840" w:rsidRDefault="004B3840">
            <w:pPr>
              <w:spacing w:after="120" w:line="288" w:lineRule="auto"/>
              <w:jc w:val="left"/>
              <w:rPr>
                <w:rFonts w:ascii="Encode Sans SemiBold" w:hAnsi="Encode Sans SemiBold"/>
                <w:color w:val="243782" w:themeColor="text2"/>
                <w:sz w:val="20"/>
                <w:szCs w:val="20"/>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B3840" w:rsidRPr="00ED6C17">
              <w:trPr>
                <w:trHeight w:val="571"/>
              </w:trPr>
              <w:tc>
                <w:tcPr>
                  <w:tcW w:w="8647" w:type="dxa"/>
                </w:tcPr>
                <w:p w:rsidR="004B3840" w:rsidRPr="00C77162" w:rsidRDefault="003B2328">
                  <w:pPr>
                    <w:rPr>
                      <w:rStyle w:val="Testosegnaposto"/>
                      <w:rFonts w:ascii="Encode Sans SemiBold" w:hAnsi="Encode Sans SemiBold"/>
                      <w:color w:val="243782" w:themeColor="text2"/>
                      <w:sz w:val="20"/>
                      <w:szCs w:val="20"/>
                      <w:lang w:val="it-IT"/>
                    </w:rPr>
                  </w:pPr>
                  <w:r w:rsidRPr="00C77162">
                    <w:rPr>
                      <w:rStyle w:val="Testosegnaposto"/>
                      <w:rFonts w:ascii="Encode Sans SemiBold" w:hAnsi="Encode Sans SemiBold"/>
                      <w:color w:val="243782" w:themeColor="text2"/>
                      <w:sz w:val="20"/>
                      <w:szCs w:val="20"/>
                      <w:lang w:val="it-IT"/>
                    </w:rPr>
                    <w:lastRenderedPageBreak/>
                    <w:t>Claudio D’AMICO</w:t>
                  </w:r>
                  <w:r w:rsidRPr="00C77162">
                    <w:rPr>
                      <w:rStyle w:val="Testosegnaposto"/>
                      <w:rFonts w:ascii="Encode Sans ExpandedLight" w:hAnsi="Encode Sans ExpandedLight"/>
                      <w:color w:val="243782" w:themeColor="text2"/>
                      <w:sz w:val="20"/>
                      <w:szCs w:val="20"/>
                      <w:lang w:val="it-IT"/>
                    </w:rPr>
                    <w:t xml:space="preserve">: +39 334 7107828 - </w:t>
                  </w:r>
                  <w:r w:rsidRPr="00C77162">
                    <w:rPr>
                      <w:rFonts w:ascii="Encode Sans ExpandedLight" w:hAnsi="Encode Sans ExpandedLight"/>
                      <w:color w:val="243782" w:themeColor="text2"/>
                      <w:sz w:val="20"/>
                      <w:szCs w:val="20"/>
                      <w:lang w:val="it-IT"/>
                    </w:rPr>
                    <w:t>claudio.damico@stellantis.com</w:t>
                  </w:r>
                  <w:r w:rsidRPr="00C77162">
                    <w:rPr>
                      <w:rFonts w:ascii="Encode Sans ExpandedLight" w:hAnsi="Encode Sans ExpandedLight"/>
                      <w:sz w:val="20"/>
                      <w:szCs w:val="20"/>
                      <w:lang w:val="it-IT"/>
                    </w:rPr>
                    <w:t xml:space="preserve"> </w:t>
                  </w:r>
                </w:p>
              </w:tc>
            </w:tr>
            <w:tr w:rsidR="004B3840" w:rsidRPr="0043483E">
              <w:trPr>
                <w:trHeight w:val="602"/>
              </w:trPr>
              <w:tc>
                <w:tcPr>
                  <w:tcW w:w="8647" w:type="dxa"/>
                </w:tcPr>
                <w:p w:rsidR="004B3840" w:rsidRDefault="003B2328">
                  <w:pPr>
                    <w:spacing w:after="120"/>
                    <w:jc w:val="left"/>
                    <w:rPr>
                      <w:rStyle w:val="Testosegnaposto"/>
                      <w:rFonts w:ascii="Encode Sans ExpandedLight" w:hAnsi="Encode Sans ExpandedLight"/>
                      <w:b/>
                      <w:color w:val="243782" w:themeColor="text2"/>
                      <w:sz w:val="20"/>
                      <w:szCs w:val="20"/>
                      <w:lang w:val="fr-FR"/>
                    </w:rPr>
                  </w:pPr>
                  <w:r>
                    <w:rPr>
                      <w:rFonts w:ascii="Encode Sans SemiBold" w:hAnsi="Encode Sans SemiBold"/>
                      <w:color w:val="243782" w:themeColor="text2"/>
                      <w:sz w:val="20"/>
                      <w:szCs w:val="20"/>
                      <w:lang w:val="fr-FR"/>
                    </w:rPr>
                    <w:t xml:space="preserve">Karine </w:t>
                  </w:r>
                  <w:proofErr w:type="gramStart"/>
                  <w:r>
                    <w:rPr>
                      <w:rFonts w:ascii="Encode Sans SemiBold" w:hAnsi="Encode Sans SemiBold"/>
                      <w:color w:val="243782" w:themeColor="text2"/>
                      <w:sz w:val="20"/>
                      <w:szCs w:val="20"/>
                      <w:lang w:val="fr-FR"/>
                    </w:rPr>
                    <w:t>DOUET:</w:t>
                  </w:r>
                  <w:proofErr w:type="gramEnd"/>
                  <w:r>
                    <w:rPr>
                      <w:rFonts w:ascii="Encode Sans ExpandedLight" w:hAnsi="Encode Sans ExpandedLight"/>
                      <w:b/>
                      <w:color w:val="243782" w:themeColor="text2"/>
                      <w:sz w:val="20"/>
                      <w:szCs w:val="20"/>
                      <w:lang w:val="fr-FR"/>
                    </w:rPr>
                    <w:t xml:space="preserve"> </w:t>
                  </w:r>
                  <w:r>
                    <w:rPr>
                      <w:rFonts w:ascii="Encode Sans ExpandedLight" w:hAnsi="Encode Sans ExpandedLight"/>
                      <w:color w:val="243782" w:themeColor="text2"/>
                      <w:sz w:val="20"/>
                      <w:szCs w:val="20"/>
                      <w:lang w:val="fr-FR"/>
                    </w:rPr>
                    <w:t>+33 6 61 64 03 83 -karine.douet@stellantis.com</w:t>
                  </w:r>
                </w:p>
              </w:tc>
            </w:tr>
            <w:tr w:rsidR="004B3840">
              <w:trPr>
                <w:trHeight w:val="548"/>
              </w:trPr>
              <w:tc>
                <w:tcPr>
                  <w:tcW w:w="8647" w:type="dxa"/>
                </w:tcPr>
                <w:p w:rsidR="004B3840" w:rsidRDefault="003B2328">
                  <w:pPr>
                    <w:spacing w:after="120"/>
                    <w:jc w:val="left"/>
                    <w:rPr>
                      <w:rFonts w:ascii="Encode Sans ExpandedLight" w:hAnsi="Encode Sans ExpandedLight"/>
                      <w:color w:val="243782" w:themeColor="text2"/>
                      <w:sz w:val="20"/>
                      <w:szCs w:val="20"/>
                    </w:rPr>
                  </w:pPr>
                  <w:proofErr w:type="spellStart"/>
                  <w:r>
                    <w:rPr>
                      <w:rFonts w:ascii="Encode Sans SemiBold" w:hAnsi="Encode Sans SemiBold"/>
                      <w:color w:val="243782" w:themeColor="text2"/>
                      <w:sz w:val="20"/>
                      <w:szCs w:val="20"/>
                    </w:rPr>
                    <w:t>Valérie</w:t>
                  </w:r>
                  <w:proofErr w:type="spellEnd"/>
                  <w:r>
                    <w:rPr>
                      <w:rFonts w:ascii="Encode Sans SemiBold" w:hAnsi="Encode Sans SemiBold"/>
                      <w:color w:val="243782" w:themeColor="text2"/>
                      <w:sz w:val="20"/>
                      <w:szCs w:val="20"/>
                    </w:rPr>
                    <w:t xml:space="preserve"> GILLOT</w:t>
                  </w:r>
                  <w:r>
                    <w:rPr>
                      <w:rFonts w:ascii="Encode Sans ExpandedLight" w:hAnsi="Encode Sans ExpandedLight"/>
                      <w:b/>
                      <w:color w:val="243782" w:themeColor="text2"/>
                      <w:sz w:val="20"/>
                      <w:szCs w:val="20"/>
                    </w:rPr>
                    <w:t xml:space="preserve">: </w:t>
                  </w:r>
                  <w:r>
                    <w:rPr>
                      <w:rFonts w:ascii="Encode Sans ExpandedLight" w:hAnsi="Encode Sans ExpandedLight"/>
                      <w:color w:val="243782" w:themeColor="text2"/>
                      <w:sz w:val="20"/>
                      <w:szCs w:val="20"/>
                    </w:rPr>
                    <w:t>+33 6 83 92 92 96 - valerie.gillot@stellantis.com</w:t>
                  </w:r>
                </w:p>
                <w:p w:rsidR="004B3840" w:rsidRDefault="004B3840">
                  <w:pPr>
                    <w:spacing w:after="120"/>
                    <w:jc w:val="left"/>
                    <w:rPr>
                      <w:rStyle w:val="Collegamentoipertestuale"/>
                      <w:rFonts w:ascii="Encode Sans ExpandedLight" w:hAnsi="Encode Sans ExpandedLight"/>
                      <w:color w:val="243782" w:themeColor="text2"/>
                      <w:sz w:val="20"/>
                      <w:szCs w:val="20"/>
                    </w:rPr>
                  </w:pPr>
                </w:p>
                <w:p w:rsidR="004B3840" w:rsidRDefault="003B2328">
                  <w:pPr>
                    <w:spacing w:after="120"/>
                    <w:jc w:val="left"/>
                    <w:rPr>
                      <w:rStyle w:val="Testosegnaposto"/>
                      <w:rFonts w:ascii="Encode Sans ExpandedLight" w:hAnsi="Encode Sans ExpandedLight"/>
                      <w:color w:val="243782" w:themeColor="text2"/>
                      <w:sz w:val="20"/>
                      <w:szCs w:val="20"/>
                    </w:rPr>
                  </w:pPr>
                  <w:r>
                    <w:rPr>
                      <w:rStyle w:val="Testosegnaposto"/>
                      <w:rFonts w:ascii="Encode Sans SemiBold" w:hAnsi="Encode Sans SemiBold"/>
                      <w:color w:val="243782" w:themeColor="text2"/>
                      <w:sz w:val="20"/>
                      <w:szCs w:val="20"/>
                    </w:rPr>
                    <w:t>Shawn MORGAN</w:t>
                  </w:r>
                  <w:r>
                    <w:rPr>
                      <w:rStyle w:val="Testosegnaposto"/>
                      <w:rFonts w:ascii="Encode Sans ExpandedLight" w:hAnsi="Encode Sans ExpandedLight"/>
                      <w:color w:val="243782" w:themeColor="text2"/>
                      <w:sz w:val="20"/>
                      <w:szCs w:val="20"/>
                    </w:rPr>
                    <w:t>:</w:t>
                  </w:r>
                  <w:r>
                    <w:rPr>
                      <w:rStyle w:val="Testosegnaposto"/>
                      <w:rFonts w:ascii="Encode Sans ExpandedLight" w:hAnsi="Encode Sans ExpandedLight"/>
                      <w:b/>
                      <w:color w:val="243782" w:themeColor="text2"/>
                      <w:sz w:val="20"/>
                      <w:szCs w:val="20"/>
                    </w:rPr>
                    <w:t xml:space="preserve"> </w:t>
                  </w:r>
                  <w:r>
                    <w:rPr>
                      <w:rStyle w:val="Testosegnaposto"/>
                      <w:rFonts w:ascii="Encode Sans ExpandedLight" w:hAnsi="Encode Sans ExpandedLight"/>
                      <w:color w:val="243782" w:themeColor="text2"/>
                      <w:sz w:val="20"/>
                      <w:szCs w:val="20"/>
                    </w:rPr>
                    <w:t xml:space="preserve">+1 248 760 2621 - </w:t>
                  </w:r>
                  <w:r>
                    <w:rPr>
                      <w:rFonts w:ascii="Encode Sans ExpandedLight" w:hAnsi="Encode Sans ExpandedLight"/>
                      <w:color w:val="243782" w:themeColor="text2"/>
                      <w:sz w:val="20"/>
                      <w:szCs w:val="20"/>
                    </w:rPr>
                    <w:t>shawn.morgan@stellantis.com</w:t>
                  </w:r>
                </w:p>
                <w:p w:rsidR="004B3840" w:rsidRDefault="004B3840">
                  <w:pPr>
                    <w:spacing w:after="120"/>
                    <w:jc w:val="left"/>
                    <w:rPr>
                      <w:rStyle w:val="Testosegnaposto"/>
                      <w:rFonts w:ascii="Encode Sans ExpandedLight" w:hAnsi="Encode Sans ExpandedLight"/>
                      <w:b/>
                      <w:color w:val="243782" w:themeColor="text2"/>
                      <w:sz w:val="20"/>
                      <w:szCs w:val="20"/>
                    </w:rPr>
                  </w:pPr>
                </w:p>
              </w:tc>
            </w:tr>
          </w:tbl>
          <w:p w:rsidR="004B3840" w:rsidRDefault="003B2328">
            <w:pPr>
              <w:spacing w:line="288" w:lineRule="auto"/>
              <w:jc w:val="left"/>
              <w:rPr>
                <w:color w:val="243782" w:themeColor="text2"/>
                <w:sz w:val="20"/>
                <w:szCs w:val="20"/>
              </w:rPr>
            </w:pPr>
            <w:r>
              <w:rPr>
                <w:rFonts w:ascii="Encode Sans ExpandedLight" w:hAnsi="Encode Sans ExpandedLight"/>
                <w:color w:val="243782" w:themeColor="text2"/>
                <w:sz w:val="20"/>
                <w:szCs w:val="20"/>
              </w:rPr>
              <w:t>www.stellantis.com</w:t>
            </w:r>
          </w:p>
        </w:tc>
      </w:tr>
    </w:tbl>
    <w:p w:rsidR="004B3840" w:rsidRDefault="004B3840">
      <w:pPr>
        <w:rPr>
          <w:rFonts w:ascii="Encode Sans ExpandedLight" w:hAnsi="Encode Sans ExpandedLight"/>
          <w:sz w:val="21"/>
          <w:szCs w:val="21"/>
        </w:rPr>
      </w:pPr>
    </w:p>
    <w:p w:rsidR="004B3840" w:rsidRDefault="003B2328">
      <w:pPr>
        <w:spacing w:after="0"/>
        <w:jc w:val="left"/>
      </w:pPr>
      <w:r>
        <w:rPr>
          <w:rFonts w:ascii="Encode Sans SemiBold" w:hAnsi="Encode Sans SemiBold" w:cs="Calibri"/>
          <w:i/>
          <w:color w:val="243782" w:themeColor="text2"/>
          <w:sz w:val="18"/>
          <w:szCs w:val="22"/>
        </w:rPr>
        <w:t>FORWARD-LOOKING STATEMENTS</w:t>
      </w:r>
      <w:r>
        <w:t xml:space="preserve"> </w:t>
      </w:r>
    </w:p>
    <w:p w:rsidR="004B3840" w:rsidRDefault="004B3840">
      <w:pPr>
        <w:spacing w:after="0"/>
        <w:jc w:val="left"/>
      </w:pPr>
    </w:p>
    <w:p w:rsidR="004B3840" w:rsidRDefault="003B2328">
      <w:pPr>
        <w:spacing w:after="0"/>
        <w:rPr>
          <w:sz w:val="20"/>
          <w:szCs w:val="20"/>
        </w:rPr>
      </w:pPr>
      <w:r>
        <w:rPr>
          <w:sz w:val="20"/>
          <w:szCs w:val="20"/>
        </w:rPr>
        <w:t xml:space="preserve">This communication contains forward-looking statements. In particular, these forward-looking statements include statements regarding future financial performance and the expectations of the combined group (the “Group”) resulting from the merger of FCA and Groupe PSA as to the achievement of certain targeted metrics at any future date or for any future period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w:t>
      </w:r>
      <w:proofErr w:type="gramStart"/>
      <w:r>
        <w:rPr>
          <w:sz w:val="20"/>
          <w:szCs w:val="20"/>
        </w:rPr>
        <w:t>are based</w:t>
      </w:r>
      <w:proofErr w:type="gramEnd"/>
      <w:r>
        <w:rPr>
          <w:sz w:val="20"/>
          <w:szCs w:val="20"/>
        </w:rPr>
        <w:t xml:space="preserve"> on the Group’s current state of knowledge, future expectations and projections about future events and are by their nature, subject to inherent risks and uncertainties. They relate to events and depend on circumstances that may or may not occur or exist in the future and, as such, undue reliance </w:t>
      </w:r>
      <w:proofErr w:type="gramStart"/>
      <w:r>
        <w:rPr>
          <w:sz w:val="20"/>
          <w:szCs w:val="20"/>
        </w:rPr>
        <w:t>should not be placed</w:t>
      </w:r>
      <w:proofErr w:type="gramEnd"/>
      <w:r>
        <w:rPr>
          <w:sz w:val="20"/>
          <w:szCs w:val="20"/>
        </w:rPr>
        <w:t xml:space="preserve"> on them. </w:t>
      </w:r>
    </w:p>
    <w:p w:rsidR="004B3840" w:rsidRDefault="003B2328">
      <w:pPr>
        <w:spacing w:after="0"/>
        <w:rPr>
          <w:sz w:val="20"/>
          <w:szCs w:val="20"/>
        </w:rPr>
      </w:pPr>
      <w:proofErr w:type="gramStart"/>
      <w:r>
        <w:rPr>
          <w:sz w:val="20"/>
          <w:szCs w:val="20"/>
        </w:rPr>
        <w:t xml:space="preserve">Actual results may differ materially from those expressed in forward-looking statements as a result of a variety of factors, including: the impact of the COVID-19 pandemic, the ability of the Group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the Group’s ability to expand certain of its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the Group’s defined benefit pension plans; the ability to provide or arrange for access to adequate financing for dealers and retail customers and associated risks related to the establishment and operations of financial services companies; the ability to access funding to execute the Group’s business plans and improve their businesses, financial condition and results of operations; a significant malfunction, disruption or security breach compromising information technology systems or the electronic control systems contained in the Group’s vehicles; the Group’s ability to realize anticipated benefits </w:t>
      </w:r>
      <w:r>
        <w:rPr>
          <w:sz w:val="20"/>
          <w:szCs w:val="20"/>
        </w:rPr>
        <w:lastRenderedPageBreak/>
        <w:t>from joint venture arrangements; disruptions arising from political, social and economic instability; risks associated with our relationships with employees, dealers and suppliers; increases in costs, disruptions of supply or shortages of raw materials; developments in labor and industrial relations and developments in applicable labor laws; exchange rate fluctuations, interest rate changes, credit risk and other market risks; political and civil unrest; earthquakes or other disasters; the risk that the operations of Groupe PSA and FCA will not be integrated successfully and other risks and uncertainties.</w:t>
      </w:r>
      <w:proofErr w:type="gramEnd"/>
      <w:r>
        <w:rPr>
          <w:sz w:val="20"/>
          <w:szCs w:val="20"/>
        </w:rPr>
        <w:t xml:space="preserve"> </w:t>
      </w:r>
    </w:p>
    <w:p w:rsidR="004B3840" w:rsidRDefault="003B2328">
      <w:pPr>
        <w:spacing w:after="0"/>
        <w:rPr>
          <w:rFonts w:asciiTheme="majorHAnsi" w:hAnsiTheme="majorHAnsi"/>
          <w:bCs/>
          <w:noProof/>
          <w:color w:val="243782" w:themeColor="text2"/>
          <w:sz w:val="20"/>
          <w:szCs w:val="20"/>
        </w:rPr>
      </w:pPr>
      <w:r>
        <w:rPr>
          <w:sz w:val="20"/>
          <w:szCs w:val="20"/>
        </w:rPr>
        <w:t>Any forward-looking statements contained in this communication speak only as of the date of this document and the Group disclaims any obligation to update or revise publicly forward-looking statements. Further information concerning the Group and its businesses, including factors that could materially affect the Group’s financial results, are included in FCA’s reports and filings with the U.S. Securities and Exchange Commission (including the registration statement on Form F-4 that was declared effective by the SEC on November 20, 2020), the AFM and CONSOB and PSA’s filings with the AMF.</w:t>
      </w:r>
    </w:p>
    <w:sectPr w:rsidR="004B3840">
      <w:headerReference w:type="even" r:id="rId12"/>
      <w:headerReference w:type="default" r:id="rId13"/>
      <w:footerReference w:type="even" r:id="rId14"/>
      <w:footerReference w:type="default" r:id="rId15"/>
      <w:headerReference w:type="first" r:id="rId16"/>
      <w:footerReference w:type="first" r:id="rId17"/>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1E" w:rsidRDefault="0086211E">
      <w:pPr>
        <w:spacing w:after="0"/>
      </w:pPr>
      <w:r>
        <w:separator/>
      </w:r>
    </w:p>
  </w:endnote>
  <w:endnote w:type="continuationSeparator" w:id="0">
    <w:p w:rsidR="0086211E" w:rsidRDefault="00862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FE11944-0335-445C-8C2A-B48C5F64379E}"/>
    <w:embedBold r:id="rId2" w:fontKey="{A18220F2-D06F-46A5-8698-920E7F9E6C12}"/>
    <w:embedItalic r:id="rId3" w:fontKey="{478D7752-7E45-480F-B2D2-8EA0F5DB223C}"/>
    <w:embedBoldItalic r:id="rId4" w:fontKey="{52CAAD40-D446-4062-BD00-9E2337A779CB}"/>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embedRegular r:id="rId5" w:fontKey="{6EE47A4F-5249-4665-A7F8-0B02F8E7CE01}"/>
    <w:embedItalic r:id="rId6" w:fontKey="{62687C92-AE7C-4090-A4DF-D42158F3D44F}"/>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4B38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3B2328">
    <w:pPr>
      <w:pStyle w:val="SPagination"/>
      <w:rPr>
        <w:szCs w:val="16"/>
      </w:rPr>
    </w:pPr>
    <w:r>
      <w:rPr>
        <w:szCs w:val="16"/>
      </w:rPr>
      <w:t xml:space="preserve">- </w:t>
    </w:r>
    <w:r>
      <w:rPr>
        <w:rStyle w:val="Numeropagina"/>
        <w:szCs w:val="16"/>
      </w:rPr>
      <w:fldChar w:fldCharType="begin"/>
    </w:r>
    <w:r>
      <w:rPr>
        <w:rStyle w:val="Numeropagina"/>
        <w:szCs w:val="16"/>
      </w:rPr>
      <w:instrText xml:space="preserve"> PAGE </w:instrText>
    </w:r>
    <w:r>
      <w:rPr>
        <w:rStyle w:val="Numeropagina"/>
        <w:szCs w:val="16"/>
      </w:rPr>
      <w:fldChar w:fldCharType="separate"/>
    </w:r>
    <w:r w:rsidR="00ED6C17">
      <w:rPr>
        <w:rStyle w:val="Numeropagina"/>
        <w:noProof/>
        <w:szCs w:val="16"/>
      </w:rPr>
      <w:t>2</w:t>
    </w:r>
    <w:r>
      <w:rPr>
        <w:rStyle w:val="Numeropagina"/>
        <w:szCs w:val="16"/>
      </w:rPr>
      <w:fldChar w:fldCharType="end"/>
    </w:r>
    <w:r>
      <w:rPr>
        <w:rStyle w:val="Numeropagina"/>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4B38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1E" w:rsidRDefault="0086211E">
      <w:pPr>
        <w:spacing w:after="0"/>
      </w:pPr>
      <w:r>
        <w:separator/>
      </w:r>
    </w:p>
  </w:footnote>
  <w:footnote w:type="continuationSeparator" w:id="0">
    <w:p w:rsidR="0086211E" w:rsidRDefault="008621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4B384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4B384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40" w:rsidRDefault="003B2328">
    <w:r>
      <w:rPr>
        <w:noProof/>
        <w:lang w:val="it-IT" w:eastAsia="it-IT"/>
      </w:rPr>
      <mc:AlternateContent>
        <mc:Choice Requires="wpg">
          <w:drawing>
            <wp:anchor distT="0" distB="0" distL="114300" distR="114300" simplePos="0" relativeHeight="251658240" behindDoc="1" locked="1" layoutInCell="1" allowOverlap="1">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6"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7"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3840" w:rsidRDefault="003B2328">
                            <w:pPr>
                              <w:pStyle w:val="SPRESSRELEASE-TITLE"/>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e 29" o:spid="_x0000_s2049" style="width:21.25pt;height:184.35pt;margin-top:4.3pt;margin-left:35.15pt;mso-height-relative:margin;mso-position-horizontal-relative:page;mso-position-vertical-relative:page;mso-width-relative:margin;position:absolute;z-index:-251657216" coordsize="3159,27463">
              <o:lock v:ext="edit" aspectratio="t"/>
              <v:rect id="AutoShape 7" o:spid="_x0000_s2050" style="width:3159;height:27432;mso-wrap-style:square;position:absolute;top:31;visibility:visible;v-text-anchor:top" filled="f" stroked="f">
                <o:lock v:ext="edit" aspectratio="t" text="t"/>
              </v:rect>
              <v:oval id="Oval 9" o:spid="_x0000_s2051" style="width:350;height:333;left:539;mso-wrap-style:square;position:absolute;top:26638;visibility:visible;v-text-anchor:top" fillcolor="#243782" stroked="f"/>
              <v:oval id="Oval 10" o:spid="_x0000_s2052" style="width:349;height:333;left:1444;mso-wrap-style:square;position:absolute;top:26638;visibility:visible;v-text-anchor:top" fillcolor="#243782" stroked="f"/>
              <v:oval id="Oval 11" o:spid="_x0000_s2053" style="width:349;height:333;left:2333;mso-wrap-style:square;position:absolute;top:26638;visibility:visible;v-text-anchor:top" fillcolor="#243782" stroked="f"/>
              <v:oval id="Oval 12" o:spid="_x0000_s2054" style="width:238;height:222;left:1016;mso-wrap-style:square;position:absolute;top:27241;visibility:visible;v-text-anchor:top" fillcolor="#243782" stroked="f"/>
              <v:oval id="Oval 13" o:spid="_x0000_s2055" style="width:238;height:222;left:1952;mso-wrap-style:square;position:absolute;top:27241;visibility:visible;v-text-anchor:top" fillcolor="#243782" stroked="f"/>
              <v:shape id="Freeform 14" o:spid="_x0000_s2056" style="width:3159;height:26400;mso-wrap-style:square;position:absolute;visibility:visible;v-text-anchor:middle" coordsize="81,699" o:spt="100" adj="-11796480,,5400" path="m81,c,,,,,,,693,,693,,693c,693,,693,,693c,693,,693,,693c,696,3,699,6,699c10,699,12,696,12,693c12,693,12,693,12,693c13,693,13,693,13,693c13,690,15,688,18,688c20,688,22,690,23,693c23,693,23,693,23,693c23,693,23,693,23,693c23,696,26,699,29,699c33,699,35,696,35,693c35,693,35,693,35,693c35,693,35,693,35,693c36,690,38,688,41,688c43,688,46,690,46,693c46,693,46,693,46,693c46,693,46,693,46,693c46,693,46,693,46,693c46,693,46,693,46,693c46,697,49,699,52,699c56,699,58,696,58,693c58,693,58,693,58,693c58,693,58,693,58,693c59,690,61,688,63,688c66,688,68,690,69,693c69,693,69,693,69,693c69,693,69,693,69,693c69,696,71,699,75,699c78,699,81,696,81,693c81,693,81,693,81,693c81,693,81,693,81,693l81,xe" fillcolor="#243782"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98pt,0,2.83pt,14.17pt">
                  <w:txbxContent>
                    <w:p>
                      <w:pPr>
                        <w:pStyle w:val="SPRESSRELEASE-TITLE"/>
                      </w:pPr>
                      <w:r>
                        <w:t>PRESS RELEASE</w:t>
                      </w:r>
                    </w:p>
                  </w:txbxContent>
                </v:textbox>
              </v:shape>
              <w10:anchorlock/>
            </v:group>
          </w:pict>
        </mc:Fallback>
      </mc:AlternateContent>
    </w:r>
    <w:r>
      <w:rPr>
        <w:noProof/>
        <w:lang w:val="it-IT" w:eastAsia="it-IT"/>
      </w:rPr>
      <w:drawing>
        <wp:inline distT="0" distB="0" distL="0" distR="0">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EBD63178">
      <w:start w:val="1"/>
      <w:numFmt w:val="bullet"/>
      <w:lvlText w:val=""/>
      <w:lvlJc w:val="left"/>
      <w:pPr>
        <w:ind w:left="720" w:hanging="360"/>
      </w:pPr>
      <w:rPr>
        <w:rFonts w:ascii="Symbol" w:hAnsi="Symbol" w:hint="default"/>
      </w:rPr>
    </w:lvl>
    <w:lvl w:ilvl="1" w:tplc="58066446">
      <w:start w:val="1"/>
      <w:numFmt w:val="bullet"/>
      <w:lvlText w:val="o"/>
      <w:lvlJc w:val="left"/>
      <w:pPr>
        <w:ind w:left="1440" w:hanging="360"/>
      </w:pPr>
      <w:rPr>
        <w:rFonts w:ascii="Courier New" w:hAnsi="Courier New" w:cs="Courier New" w:hint="default"/>
      </w:rPr>
    </w:lvl>
    <w:lvl w:ilvl="2" w:tplc="43987496">
      <w:start w:val="1"/>
      <w:numFmt w:val="bullet"/>
      <w:lvlText w:val=""/>
      <w:lvlJc w:val="left"/>
      <w:pPr>
        <w:ind w:left="2160" w:hanging="360"/>
      </w:pPr>
      <w:rPr>
        <w:rFonts w:ascii="Wingdings" w:hAnsi="Wingdings" w:hint="default"/>
      </w:rPr>
    </w:lvl>
    <w:lvl w:ilvl="3" w:tplc="2F80A442">
      <w:start w:val="1"/>
      <w:numFmt w:val="bullet"/>
      <w:lvlText w:val=""/>
      <w:lvlJc w:val="left"/>
      <w:pPr>
        <w:ind w:left="2880" w:hanging="360"/>
      </w:pPr>
      <w:rPr>
        <w:rFonts w:ascii="Symbol" w:hAnsi="Symbol" w:hint="default"/>
      </w:rPr>
    </w:lvl>
    <w:lvl w:ilvl="4" w:tplc="1B888BD2">
      <w:start w:val="1"/>
      <w:numFmt w:val="bullet"/>
      <w:lvlText w:val="o"/>
      <w:lvlJc w:val="left"/>
      <w:pPr>
        <w:ind w:left="3600" w:hanging="360"/>
      </w:pPr>
      <w:rPr>
        <w:rFonts w:ascii="Courier New" w:hAnsi="Courier New" w:cs="Courier New" w:hint="default"/>
      </w:rPr>
    </w:lvl>
    <w:lvl w:ilvl="5" w:tplc="6CFEB856">
      <w:start w:val="1"/>
      <w:numFmt w:val="bullet"/>
      <w:lvlText w:val=""/>
      <w:lvlJc w:val="left"/>
      <w:pPr>
        <w:ind w:left="4320" w:hanging="360"/>
      </w:pPr>
      <w:rPr>
        <w:rFonts w:ascii="Wingdings" w:hAnsi="Wingdings" w:hint="default"/>
      </w:rPr>
    </w:lvl>
    <w:lvl w:ilvl="6" w:tplc="4382506E">
      <w:start w:val="1"/>
      <w:numFmt w:val="bullet"/>
      <w:lvlText w:val=""/>
      <w:lvlJc w:val="left"/>
      <w:pPr>
        <w:ind w:left="5040" w:hanging="360"/>
      </w:pPr>
      <w:rPr>
        <w:rFonts w:ascii="Symbol" w:hAnsi="Symbol" w:hint="default"/>
      </w:rPr>
    </w:lvl>
    <w:lvl w:ilvl="7" w:tplc="E4701FCA">
      <w:start w:val="1"/>
      <w:numFmt w:val="bullet"/>
      <w:lvlText w:val="o"/>
      <w:lvlJc w:val="left"/>
      <w:pPr>
        <w:ind w:left="5760" w:hanging="360"/>
      </w:pPr>
      <w:rPr>
        <w:rFonts w:ascii="Courier New" w:hAnsi="Courier New" w:cs="Courier New" w:hint="default"/>
      </w:rPr>
    </w:lvl>
    <w:lvl w:ilvl="8" w:tplc="0B4CC6C8">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6B62215E">
      <w:start w:val="1"/>
      <w:numFmt w:val="bullet"/>
      <w:pStyle w:val="SBullet"/>
      <w:lvlText w:val=""/>
      <w:lvlJc w:val="left"/>
      <w:pPr>
        <w:ind w:left="720" w:hanging="360"/>
      </w:pPr>
      <w:rPr>
        <w:rFonts w:ascii="Symbol" w:hAnsi="Symbol" w:hint="default"/>
      </w:rPr>
    </w:lvl>
    <w:lvl w:ilvl="1" w:tplc="5F2EFAF0" w:tentative="1">
      <w:start w:val="1"/>
      <w:numFmt w:val="bullet"/>
      <w:lvlText w:val="o"/>
      <w:lvlJc w:val="left"/>
      <w:pPr>
        <w:ind w:left="1440" w:hanging="360"/>
      </w:pPr>
      <w:rPr>
        <w:rFonts w:ascii="Courier New" w:hAnsi="Courier New" w:cs="Courier New" w:hint="default"/>
      </w:rPr>
    </w:lvl>
    <w:lvl w:ilvl="2" w:tplc="90F8177E" w:tentative="1">
      <w:start w:val="1"/>
      <w:numFmt w:val="bullet"/>
      <w:lvlText w:val=""/>
      <w:lvlJc w:val="left"/>
      <w:pPr>
        <w:ind w:left="2160" w:hanging="360"/>
      </w:pPr>
      <w:rPr>
        <w:rFonts w:ascii="Wingdings" w:hAnsi="Wingdings" w:hint="default"/>
      </w:rPr>
    </w:lvl>
    <w:lvl w:ilvl="3" w:tplc="A51A4F82" w:tentative="1">
      <w:start w:val="1"/>
      <w:numFmt w:val="bullet"/>
      <w:lvlText w:val=""/>
      <w:lvlJc w:val="left"/>
      <w:pPr>
        <w:ind w:left="2880" w:hanging="360"/>
      </w:pPr>
      <w:rPr>
        <w:rFonts w:ascii="Symbol" w:hAnsi="Symbol" w:hint="default"/>
      </w:rPr>
    </w:lvl>
    <w:lvl w:ilvl="4" w:tplc="A2482428" w:tentative="1">
      <w:start w:val="1"/>
      <w:numFmt w:val="bullet"/>
      <w:lvlText w:val="o"/>
      <w:lvlJc w:val="left"/>
      <w:pPr>
        <w:ind w:left="3600" w:hanging="360"/>
      </w:pPr>
      <w:rPr>
        <w:rFonts w:ascii="Courier New" w:hAnsi="Courier New" w:cs="Courier New" w:hint="default"/>
      </w:rPr>
    </w:lvl>
    <w:lvl w:ilvl="5" w:tplc="7CFEB1E6" w:tentative="1">
      <w:start w:val="1"/>
      <w:numFmt w:val="bullet"/>
      <w:lvlText w:val=""/>
      <w:lvlJc w:val="left"/>
      <w:pPr>
        <w:ind w:left="4320" w:hanging="360"/>
      </w:pPr>
      <w:rPr>
        <w:rFonts w:ascii="Wingdings" w:hAnsi="Wingdings" w:hint="default"/>
      </w:rPr>
    </w:lvl>
    <w:lvl w:ilvl="6" w:tplc="6B4CCBE0" w:tentative="1">
      <w:start w:val="1"/>
      <w:numFmt w:val="bullet"/>
      <w:lvlText w:val=""/>
      <w:lvlJc w:val="left"/>
      <w:pPr>
        <w:ind w:left="5040" w:hanging="360"/>
      </w:pPr>
      <w:rPr>
        <w:rFonts w:ascii="Symbol" w:hAnsi="Symbol" w:hint="default"/>
      </w:rPr>
    </w:lvl>
    <w:lvl w:ilvl="7" w:tplc="0A281E04" w:tentative="1">
      <w:start w:val="1"/>
      <w:numFmt w:val="bullet"/>
      <w:lvlText w:val="o"/>
      <w:lvlJc w:val="left"/>
      <w:pPr>
        <w:ind w:left="5760" w:hanging="360"/>
      </w:pPr>
      <w:rPr>
        <w:rFonts w:ascii="Courier New" w:hAnsi="Courier New" w:cs="Courier New" w:hint="default"/>
      </w:rPr>
    </w:lvl>
    <w:lvl w:ilvl="8" w:tplc="DA72F94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embedSystemFonts/>
  <w:saveSubsetFont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40"/>
    <w:rsid w:val="0032601B"/>
    <w:rsid w:val="003B2328"/>
    <w:rsid w:val="003E3803"/>
    <w:rsid w:val="0043483E"/>
    <w:rsid w:val="004B3840"/>
    <w:rsid w:val="006477B4"/>
    <w:rsid w:val="00782A04"/>
    <w:rsid w:val="0086211E"/>
    <w:rsid w:val="0096074D"/>
    <w:rsid w:val="00BE120F"/>
    <w:rsid w:val="00C77162"/>
    <w:rsid w:val="00ED6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40"/>
      <w:jc w:val="both"/>
    </w:pPr>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pPr>
      <w:jc w:val="left"/>
    </w:pPr>
    <w:rPr>
      <w:color w:val="243782" w:themeColor="text2"/>
    </w:rPr>
  </w:style>
  <w:style w:type="character" w:customStyle="1" w:styleId="IntestazioneCarattere">
    <w:name w:val="Intestazione Carattere"/>
    <w:basedOn w:val="Carpredefinitoparagrafo"/>
    <w:link w:val="Intestazione"/>
    <w:uiPriority w:val="99"/>
    <w:semiHidden/>
    <w:rPr>
      <w:color w:val="243782" w:themeColor="text2"/>
      <w:lang w:val="en-US"/>
    </w:rPr>
  </w:style>
  <w:style w:type="paragraph" w:styleId="Pidipagina">
    <w:name w:val="footer"/>
    <w:basedOn w:val="Normale"/>
    <w:link w:val="PidipaginaCarattere"/>
    <w:uiPriority w:val="99"/>
    <w:semiHidden/>
    <w:pPr>
      <w:jc w:val="left"/>
    </w:pPr>
    <w:rPr>
      <w:color w:val="243782" w:themeColor="text2"/>
    </w:rPr>
  </w:style>
  <w:style w:type="character" w:customStyle="1" w:styleId="PidipaginaCarattere">
    <w:name w:val="Piè di pagina Carattere"/>
    <w:basedOn w:val="Carpredefinitoparagrafo"/>
    <w:link w:val="Pidipagina"/>
    <w:uiPriority w:val="99"/>
    <w:semiHidden/>
    <w:rPr>
      <w:color w:val="243782" w:themeColor="text2"/>
      <w:lang w:val="en-US"/>
    </w:rPr>
  </w:style>
  <w:style w:type="character" w:styleId="Collegamentoipertestuale">
    <w:name w:val="Hyperlink"/>
    <w:basedOn w:val="Carpredefinitoparagrafo"/>
    <w:uiPriority w:val="99"/>
    <w:semiHidden/>
    <w:rPr>
      <w:color w:val="243782" w:themeColor="hyperlink"/>
      <w:u w:val="none"/>
    </w:rPr>
  </w:style>
  <w:style w:type="character" w:styleId="Testosegnaposto">
    <w:name w:val="Placeholder Text"/>
    <w:basedOn w:val="Carpredefinitoparagrafo"/>
    <w:uiPriority w:val="99"/>
    <w:semiHidden/>
    <w:rPr>
      <w:color w:val="808080"/>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style>
  <w:style w:type="paragraph" w:customStyle="1" w:styleId="SSubject">
    <w:name w:val="S_Subject"/>
    <w:basedOn w:val="Normale"/>
    <w:next w:val="Normale"/>
    <w:qFormat/>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pPr>
      <w:keepNext/>
      <w:spacing w:before="240"/>
      <w:jc w:val="left"/>
    </w:pPr>
    <w:rPr>
      <w:caps/>
      <w:color w:val="243782" w:themeColor="text2"/>
      <w:szCs w:val="18"/>
      <w:lang w:val="fr-FR"/>
    </w:rPr>
  </w:style>
  <w:style w:type="paragraph" w:styleId="Paragrafoelenco">
    <w:name w:val="List Paragraph"/>
    <w:basedOn w:val="Normale"/>
    <w:uiPriority w:val="34"/>
    <w:qFormat/>
    <w:pPr>
      <w:ind w:left="720"/>
      <w:contextualSpacing/>
    </w:pPr>
  </w:style>
  <w:style w:type="paragraph" w:customStyle="1" w:styleId="SBullet">
    <w:name w:val="S_Bullet"/>
    <w:basedOn w:val="Normale"/>
    <w:uiPriority w:val="2"/>
    <w:qFormat/>
    <w:pPr>
      <w:numPr>
        <w:numId w:val="11"/>
      </w:numPr>
      <w:ind w:left="794" w:hanging="227"/>
    </w:pPr>
    <w:rPr>
      <w:rFonts w:asciiTheme="majorHAnsi" w:hAnsiTheme="majorHAnsi"/>
      <w:bCs/>
    </w:rPr>
  </w:style>
  <w:style w:type="paragraph" w:customStyle="1" w:styleId="SDatePlace">
    <w:name w:val="S_Date + Place"/>
    <w:basedOn w:val="Normale"/>
    <w:qFormat/>
    <w:pPr>
      <w:jc w:val="left"/>
    </w:pPr>
    <w:rPr>
      <w:szCs w:val="18"/>
    </w:rPr>
  </w:style>
  <w:style w:type="character" w:customStyle="1" w:styleId="UnresolvedMention">
    <w:name w:val="Unresolved Mention"/>
    <w:basedOn w:val="Carpredefinitoparagrafo"/>
    <w:uiPriority w:val="99"/>
    <w:semiHidden/>
    <w:unhideWhenUsed/>
    <w:rPr>
      <w:color w:val="605E5C"/>
      <w:shd w:val="clear" w:color="auto" w:fill="E1DFDD"/>
    </w:rPr>
  </w:style>
  <w:style w:type="paragraph" w:customStyle="1" w:styleId="SContact-Title">
    <w:name w:val="S_Contact - Title"/>
    <w:basedOn w:val="Normale"/>
    <w:next w:val="SContact-Sendersinfo"/>
    <w:qFormat/>
    <w:pPr>
      <w:spacing w:before="360"/>
    </w:pPr>
    <w:rPr>
      <w:rFonts w:asciiTheme="majorHAnsi" w:hAnsiTheme="majorHAnsi"/>
      <w:color w:val="243782" w:themeColor="text2"/>
    </w:rPr>
  </w:style>
  <w:style w:type="paragraph" w:customStyle="1" w:styleId="SContact-Sendersinfo">
    <w:name w:val="S_Contact - Sender's info"/>
    <w:basedOn w:val="Normale"/>
    <w:qFormat/>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pPr>
      <w:spacing w:before="120"/>
      <w:contextualSpacing/>
    </w:pPr>
    <w:rPr>
      <w:color w:val="243782" w:themeColor="text2"/>
    </w:rPr>
  </w:style>
  <w:style w:type="paragraph" w:customStyle="1" w:styleId="SPRESSRELEASE-TITLE">
    <w:name w:val="S_PRESS RELEASE - TITLE"/>
    <w:basedOn w:val="Normale"/>
    <w:qFormat/>
    <w:rPr>
      <w:sz w:val="26"/>
      <w:szCs w:val="24"/>
    </w:rPr>
  </w:style>
  <w:style w:type="paragraph" w:customStyle="1" w:styleId="SPagination">
    <w:name w:val="S_Pagination"/>
    <w:basedOn w:val="Pidipagina"/>
    <w:link w:val="SPaginationCar"/>
    <w:qFormat/>
    <w:pPr>
      <w:jc w:val="center"/>
    </w:pPr>
    <w:rPr>
      <w:sz w:val="16"/>
      <w:szCs w:val="14"/>
    </w:rPr>
  </w:style>
  <w:style w:type="character" w:customStyle="1" w:styleId="SPaginationCar">
    <w:name w:val="S_Pagination Car"/>
    <w:basedOn w:val="PidipaginaCarattere"/>
    <w:link w:val="SPagination"/>
    <w:rPr>
      <w:rFonts w:ascii="Encode Sans ExpandedLight" w:hAnsi="Encode Sans ExpandedLight"/>
      <w:color w:val="243782" w:themeColor="text2"/>
      <w:szCs w:val="14"/>
      <w:lang w:val="en-US"/>
    </w:rPr>
  </w:style>
  <w:style w:type="paragraph" w:customStyle="1" w:styleId="SSubtitle">
    <w:name w:val="S_Subtitle"/>
    <w:basedOn w:val="SSubject"/>
    <w:qFormat/>
    <w:pPr>
      <w:spacing w:before="480"/>
      <w:jc w:val="left"/>
    </w:pPr>
    <w:rPr>
      <w:i/>
      <w:lang w:val="fr-FR"/>
    </w:rPr>
  </w:style>
  <w:style w:type="paragraph" w:customStyle="1" w:styleId="STextitalic">
    <w:name w:val="S_Text italic"/>
    <w:basedOn w:val="Normale"/>
    <w:qFormat/>
    <w:rPr>
      <w:i/>
      <w:lang w:val="fr-FR"/>
    </w:rPr>
  </w:style>
  <w:style w:type="paragraph" w:styleId="NormaleWeb">
    <w:name w:val="Normal (Web)"/>
    <w:basedOn w:val="Normale"/>
    <w:uiPriority w:val="99"/>
    <w:unhideWhenUsed/>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ellanormale"/>
    <w:next w:val="Grigliatabella"/>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e"/>
    <w:pPr>
      <w:spacing w:after="0" w:line="360" w:lineRule="atLeast"/>
      <w:jc w:val="left"/>
    </w:pPr>
    <w:rPr>
      <w:rFonts w:ascii="Arial" w:eastAsia="Times New Roman" w:hAnsi="Arial" w:cs="Times New Roman"/>
      <w:b/>
      <w:sz w:val="26"/>
      <w:szCs w:val="24"/>
      <w:lang w:val="de-DE"/>
    </w:rPr>
  </w:style>
  <w:style w:type="paragraph" w:styleId="Testofumetto">
    <w:name w:val="Balloon Text"/>
    <w:basedOn w:val="Normale"/>
    <w:link w:val="TestofumettoCarattere"/>
    <w:uiPriority w:val="99"/>
    <w:semiHidden/>
    <w:unhideWhenUse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E6B1-ACBA-4EA3-AE0C-B8C10074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0</DocSecurity>
  <Lines>47</Lines>
  <Paragraphs>13</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2021-03-08T13:54:00Z</dcterms:created>
  <dcterms:modified xsi:type="dcterms:W3CDTF">2021-03-08T13:54:00Z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2021-03-07T12:44:44Z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dce0f9ec-ad8a-4156-a7f4-6bc46bf6871e</vt:lpwstr>
  </property>
  <property fmtid="{D5CDD505-2E9C-101B-9397-08002B2CF9AE}" pid="8" name="MSIP_Label_2fd53d93-3f4c-4b90-b511-bd6bdbb4fba9_ContentBits">
    <vt:lpwstr>0</vt:lpwstr>
  </property>
</Properties>
</file>