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F4" w:rsidRPr="0082786D" w:rsidRDefault="0064773A" w:rsidP="00FF00F4">
      <w:r w:rsidRPr="00C64511">
        <w:rPr>
          <w:rFonts w:ascii="Encode Sans SemiBold" w:hAnsi="Encode Sans SemiBold"/>
          <w:bCs/>
          <w:noProof/>
          <w:szCs w:val="18"/>
        </w:rPr>
        <mc:AlternateContent>
          <mc:Choice Requires="wps">
            <w:drawing>
              <wp:anchor distT="0" distB="0" distL="114300" distR="114300" simplePos="0" relativeHeight="251659264" behindDoc="0" locked="1" layoutInCell="1" allowOverlap="1" wp14:anchorId="54EB0D89" wp14:editId="587318BC">
                <wp:simplePos x="0" y="0"/>
                <wp:positionH relativeFrom="margi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D3E690" id="Freeform 27" o:spid="_x0000_s1026" style="position:absolute;margin-left:0;margin-top:120.05pt;width:33.85pt;height: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p>
    <w:p w:rsidR="000835FF" w:rsidRPr="00B918EE" w:rsidRDefault="001618F8" w:rsidP="002A5300">
      <w:pPr>
        <w:jc w:val="left"/>
        <w:rPr>
          <w:rFonts w:asciiTheme="majorHAnsi" w:hAnsiTheme="majorHAnsi"/>
          <w:bCs/>
          <w:noProof/>
          <w:color w:val="243782" w:themeColor="text2"/>
          <w:szCs w:val="24"/>
          <w:lang w:val="en-GB"/>
        </w:rPr>
      </w:pPr>
      <w:r w:rsidRPr="001618F8">
        <w:rPr>
          <w:rFonts w:asciiTheme="majorHAnsi" w:hAnsiTheme="majorHAnsi"/>
          <w:bCs/>
          <w:noProof/>
          <w:color w:val="243782" w:themeColor="text2"/>
          <w:szCs w:val="24"/>
          <w:lang w:val="en-GB"/>
        </w:rPr>
        <w:t>Stellantis Intensifies Electrification While Targeting Sustainable Double-Digit Adjusted Operating Income Margins in the Mid-ter</w:t>
      </w:r>
      <w:r w:rsidR="008177DC">
        <w:rPr>
          <w:rFonts w:asciiTheme="majorHAnsi" w:hAnsiTheme="majorHAnsi"/>
          <w:bCs/>
          <w:noProof/>
          <w:color w:val="243782" w:themeColor="text2"/>
          <w:szCs w:val="24"/>
          <w:lang w:val="en-GB"/>
        </w:rPr>
        <w:t>m</w:t>
      </w:r>
    </w:p>
    <w:p w:rsidR="001618F8" w:rsidRPr="001618F8" w:rsidRDefault="001618F8" w:rsidP="00EF0E92">
      <w:pPr>
        <w:numPr>
          <w:ilvl w:val="0"/>
          <w:numId w:val="13"/>
        </w:numPr>
        <w:shd w:val="clear" w:color="auto" w:fill="FFFFFF"/>
        <w:spacing w:after="0"/>
        <w:jc w:val="left"/>
        <w:rPr>
          <w:rFonts w:eastAsia="Encode Sans" w:cs="Encode Sans"/>
          <w:sz w:val="18"/>
          <w:szCs w:val="18"/>
        </w:rPr>
      </w:pPr>
      <w:r w:rsidRPr="008177DC">
        <w:rPr>
          <w:rFonts w:eastAsia="Encode Sans" w:cs="Encode Sans"/>
          <w:color w:val="222222"/>
          <w:sz w:val="18"/>
          <w:szCs w:val="18"/>
        </w:rPr>
        <w:t xml:space="preserve">Plans to invest more than </w:t>
      </w:r>
      <w:r w:rsidRPr="008177DC">
        <w:rPr>
          <w:rFonts w:eastAsia="Encode Sans" w:cs="Encode Sans"/>
          <w:sz w:val="18"/>
          <w:szCs w:val="18"/>
        </w:rPr>
        <w:t>€30 billion through 2025 in electrification</w:t>
      </w:r>
      <w:r w:rsidR="00D75DA9" w:rsidRPr="008177DC">
        <w:rPr>
          <w:rFonts w:eastAsia="Encode Sans" w:cs="Encode Sans"/>
          <w:sz w:val="18"/>
          <w:szCs w:val="18"/>
        </w:rPr>
        <w:t xml:space="preserve"> and</w:t>
      </w:r>
      <w:r w:rsidR="00265F16" w:rsidRPr="008177DC">
        <w:rPr>
          <w:rFonts w:eastAsia="Encode Sans" w:cs="Encode Sans"/>
          <w:sz w:val="18"/>
          <w:szCs w:val="18"/>
        </w:rPr>
        <w:t xml:space="preserve"> </w:t>
      </w:r>
      <w:r w:rsidRPr="008177DC">
        <w:rPr>
          <w:rFonts w:eastAsia="Encode Sans" w:cs="Encode Sans"/>
          <w:sz w:val="18"/>
          <w:szCs w:val="18"/>
        </w:rPr>
        <w:t>software,</w:t>
      </w:r>
      <w:r w:rsidRPr="001618F8">
        <w:rPr>
          <w:rFonts w:eastAsia="Encode Sans" w:cs="Encode Sans"/>
          <w:sz w:val="18"/>
          <w:szCs w:val="18"/>
        </w:rPr>
        <w:t xml:space="preserve"> while continuing to be the automotive efficiency frontrunner, with investment efficiency 30 percent better than industry average </w:t>
      </w:r>
    </w:p>
    <w:p w:rsidR="001618F8" w:rsidRPr="001618F8" w:rsidDel="00215CAE" w:rsidRDefault="00EF0E92" w:rsidP="004D62E7">
      <w:pPr>
        <w:numPr>
          <w:ilvl w:val="0"/>
          <w:numId w:val="13"/>
        </w:numPr>
        <w:shd w:val="clear" w:color="auto" w:fill="FFFFFF"/>
        <w:spacing w:after="0"/>
        <w:jc w:val="left"/>
        <w:rPr>
          <w:rFonts w:eastAsia="Encode Sans" w:cs="Encode Sans"/>
          <w:sz w:val="18"/>
          <w:szCs w:val="18"/>
        </w:rPr>
      </w:pPr>
      <w:r>
        <w:rPr>
          <w:rFonts w:eastAsia="Encode Sans" w:cs="Encode Sans"/>
          <w:sz w:val="18"/>
          <w:szCs w:val="18"/>
        </w:rPr>
        <w:t>Targeting o</w:t>
      </w:r>
      <w:r w:rsidR="001618F8" w:rsidRPr="001618F8" w:rsidDel="00215CAE">
        <w:rPr>
          <w:rFonts w:eastAsia="Encode Sans" w:cs="Encode Sans"/>
          <w:sz w:val="18"/>
          <w:szCs w:val="18"/>
        </w:rPr>
        <w:t xml:space="preserve">ver 70 percent of sales in Europe and </w:t>
      </w:r>
      <w:r>
        <w:rPr>
          <w:rFonts w:eastAsia="Encode Sans" w:cs="Encode Sans"/>
          <w:sz w:val="18"/>
          <w:szCs w:val="18"/>
        </w:rPr>
        <w:t>over</w:t>
      </w:r>
      <w:r w:rsidR="001618F8" w:rsidRPr="001618F8" w:rsidDel="00215CAE">
        <w:rPr>
          <w:rFonts w:eastAsia="Encode Sans" w:cs="Encode Sans"/>
          <w:sz w:val="18"/>
          <w:szCs w:val="18"/>
        </w:rPr>
        <w:t xml:space="preserve"> 40 percent in the United States to be </w:t>
      </w:r>
      <w:r w:rsidR="008F253C" w:rsidRPr="00536B1D">
        <w:rPr>
          <w:rFonts w:eastAsia="Encode Sans" w:cs="Encode Sans"/>
          <w:sz w:val="18"/>
          <w:szCs w:val="18"/>
        </w:rPr>
        <w:t>low emission vehicle (</w:t>
      </w:r>
      <w:r w:rsidR="001618F8" w:rsidRPr="00536B1D" w:rsidDel="00215CAE">
        <w:rPr>
          <w:rFonts w:eastAsia="Encode Sans" w:cs="Encode Sans"/>
          <w:sz w:val="18"/>
          <w:szCs w:val="18"/>
        </w:rPr>
        <w:t>LEV</w:t>
      </w:r>
      <w:r w:rsidR="008F253C" w:rsidRPr="00536B1D">
        <w:rPr>
          <w:rFonts w:eastAsia="Encode Sans" w:cs="Encode Sans"/>
          <w:sz w:val="18"/>
          <w:szCs w:val="18"/>
        </w:rPr>
        <w:t>)</w:t>
      </w:r>
      <w:r w:rsidR="001618F8" w:rsidRPr="00536B1D" w:rsidDel="00215CAE">
        <w:rPr>
          <w:rFonts w:eastAsia="Encode Sans" w:cs="Encode Sans"/>
          <w:sz w:val="18"/>
          <w:szCs w:val="18"/>
        </w:rPr>
        <w:t xml:space="preserve"> b</w:t>
      </w:r>
      <w:r w:rsidR="001618F8" w:rsidRPr="001618F8" w:rsidDel="00215CAE">
        <w:rPr>
          <w:rFonts w:eastAsia="Encode Sans" w:cs="Encode Sans"/>
          <w:sz w:val="18"/>
          <w:szCs w:val="18"/>
        </w:rPr>
        <w:t>y 2030</w:t>
      </w:r>
    </w:p>
    <w:p w:rsidR="00EF0E92" w:rsidRPr="001618F8" w:rsidRDefault="00EF0E92" w:rsidP="00EF0E92">
      <w:pPr>
        <w:numPr>
          <w:ilvl w:val="0"/>
          <w:numId w:val="13"/>
        </w:numPr>
        <w:shd w:val="clear" w:color="auto" w:fill="FFFFFF"/>
        <w:spacing w:after="0"/>
        <w:jc w:val="left"/>
        <w:rPr>
          <w:rFonts w:eastAsia="Encode Sans" w:cs="Encode Sans"/>
          <w:sz w:val="18"/>
          <w:szCs w:val="18"/>
        </w:rPr>
      </w:pPr>
      <w:r w:rsidRPr="001618F8">
        <w:rPr>
          <w:rFonts w:eastAsia="Encode Sans" w:cs="Encode Sans"/>
          <w:sz w:val="18"/>
          <w:szCs w:val="18"/>
        </w:rPr>
        <w:t>All 14 brands committed to offer</w:t>
      </w:r>
      <w:r w:rsidR="00BD29E5">
        <w:rPr>
          <w:rFonts w:eastAsia="Encode Sans" w:cs="Encode Sans"/>
          <w:sz w:val="18"/>
          <w:szCs w:val="18"/>
        </w:rPr>
        <w:t>ing</w:t>
      </w:r>
      <w:r w:rsidRPr="001618F8">
        <w:rPr>
          <w:rFonts w:eastAsia="Encode Sans" w:cs="Encode Sans"/>
          <w:sz w:val="18"/>
          <w:szCs w:val="18"/>
        </w:rPr>
        <w:t xml:space="preserve"> best-in-class fully electrified solutions</w:t>
      </w:r>
    </w:p>
    <w:p w:rsidR="00EF0E92" w:rsidRPr="001618F8" w:rsidRDefault="00EF0E92" w:rsidP="00EF0E92">
      <w:pPr>
        <w:numPr>
          <w:ilvl w:val="0"/>
          <w:numId w:val="13"/>
        </w:numPr>
        <w:shd w:val="clear" w:color="auto" w:fill="FFFFFF"/>
        <w:spacing w:after="0"/>
        <w:jc w:val="left"/>
        <w:rPr>
          <w:rFonts w:eastAsia="Encode Sans" w:cs="Encode Sans"/>
          <w:sz w:val="18"/>
          <w:szCs w:val="18"/>
        </w:rPr>
      </w:pPr>
      <w:r w:rsidRPr="001618F8">
        <w:rPr>
          <w:rFonts w:eastAsia="Encode Sans" w:cs="Encode Sans"/>
          <w:sz w:val="18"/>
          <w:szCs w:val="18"/>
        </w:rPr>
        <w:t xml:space="preserve">Delivering BEVs that meet demands of customers, with ranges of 500-800 km/300-500 miles and class-leading fast charging capability of 32 km/20 miles per minute </w:t>
      </w:r>
    </w:p>
    <w:p w:rsidR="00EF0E92" w:rsidRDefault="00EF0E92" w:rsidP="004D62E7">
      <w:pPr>
        <w:numPr>
          <w:ilvl w:val="0"/>
          <w:numId w:val="13"/>
        </w:numPr>
        <w:shd w:val="clear" w:color="auto" w:fill="FFFFFF"/>
        <w:spacing w:after="0"/>
        <w:jc w:val="left"/>
        <w:rPr>
          <w:rFonts w:eastAsia="Encode Sans" w:cs="Encode Sans"/>
          <w:sz w:val="18"/>
          <w:szCs w:val="18"/>
        </w:rPr>
      </w:pPr>
      <w:r w:rsidRPr="001618F8">
        <w:rPr>
          <w:rFonts w:eastAsia="Encode Sans" w:cs="Encode Sans"/>
          <w:color w:val="222222"/>
          <w:sz w:val="18"/>
          <w:szCs w:val="18"/>
        </w:rPr>
        <w:t>F</w:t>
      </w:r>
      <w:r w:rsidRPr="001618F8">
        <w:rPr>
          <w:rFonts w:eastAsia="Encode Sans" w:cs="Encode Sans"/>
          <w:sz w:val="18"/>
          <w:szCs w:val="18"/>
        </w:rPr>
        <w:t xml:space="preserve">our flexible BEV-by-design platforms, scalable family of three electric drive modules and standardized battery packs to cover all brands and segments </w:t>
      </w:r>
    </w:p>
    <w:p w:rsidR="00EF0E92" w:rsidRPr="001618F8" w:rsidRDefault="00EF0E92" w:rsidP="00EF0E92">
      <w:pPr>
        <w:numPr>
          <w:ilvl w:val="0"/>
          <w:numId w:val="13"/>
        </w:numPr>
        <w:shd w:val="clear" w:color="auto" w:fill="FFFFFF"/>
        <w:spacing w:after="0"/>
        <w:jc w:val="left"/>
        <w:rPr>
          <w:rFonts w:eastAsia="Encode Sans" w:cs="Encode Sans"/>
          <w:sz w:val="18"/>
          <w:szCs w:val="18"/>
        </w:rPr>
      </w:pPr>
      <w:r w:rsidRPr="001618F8">
        <w:rPr>
          <w:rFonts w:eastAsia="Encode Sans" w:cs="Encode Sans"/>
          <w:sz w:val="18"/>
          <w:szCs w:val="18"/>
        </w:rPr>
        <w:t>Platforms designed for long life via software and hardware upgrades</w:t>
      </w:r>
    </w:p>
    <w:p w:rsidR="001618F8" w:rsidRDefault="001618F8" w:rsidP="004D62E7">
      <w:pPr>
        <w:numPr>
          <w:ilvl w:val="0"/>
          <w:numId w:val="13"/>
        </w:numPr>
        <w:shd w:val="clear" w:color="auto" w:fill="FFFFFF"/>
        <w:spacing w:after="0"/>
        <w:jc w:val="left"/>
        <w:rPr>
          <w:rFonts w:eastAsia="Encode Sans" w:cs="Encode Sans"/>
          <w:sz w:val="18"/>
          <w:szCs w:val="18"/>
        </w:rPr>
      </w:pPr>
      <w:r w:rsidRPr="001618F8">
        <w:rPr>
          <w:rFonts w:eastAsia="Encode Sans" w:cs="Encode Sans"/>
          <w:sz w:val="18"/>
          <w:szCs w:val="18"/>
        </w:rPr>
        <w:t xml:space="preserve">Global EV battery sourcing strategy </w:t>
      </w:r>
      <w:r w:rsidR="00EF0E92">
        <w:rPr>
          <w:rFonts w:eastAsia="Encode Sans" w:cs="Encode Sans"/>
          <w:sz w:val="18"/>
          <w:szCs w:val="18"/>
        </w:rPr>
        <w:t xml:space="preserve">of over </w:t>
      </w:r>
      <w:r w:rsidRPr="001618F8">
        <w:rPr>
          <w:rFonts w:eastAsia="Encode Sans" w:cs="Encode Sans"/>
          <w:sz w:val="18"/>
          <w:szCs w:val="18"/>
        </w:rPr>
        <w:t>260GWh by 2030, supported by five “</w:t>
      </w:r>
      <w:proofErr w:type="spellStart"/>
      <w:r w:rsidR="00B450AC">
        <w:rPr>
          <w:rFonts w:eastAsia="Encode Sans" w:cs="Encode Sans"/>
          <w:sz w:val="18"/>
          <w:szCs w:val="18"/>
        </w:rPr>
        <w:t>gigafactories</w:t>
      </w:r>
      <w:proofErr w:type="spellEnd"/>
      <w:r w:rsidRPr="001618F8">
        <w:rPr>
          <w:rFonts w:eastAsia="Encode Sans" w:cs="Encode Sans"/>
          <w:sz w:val="18"/>
          <w:szCs w:val="18"/>
        </w:rPr>
        <w:t xml:space="preserve">” </w:t>
      </w:r>
      <w:r w:rsidR="00EF0E92">
        <w:rPr>
          <w:rFonts w:eastAsia="Encode Sans" w:cs="Encode Sans"/>
          <w:sz w:val="18"/>
          <w:szCs w:val="18"/>
        </w:rPr>
        <w:t>between</w:t>
      </w:r>
      <w:r w:rsidRPr="001618F8">
        <w:rPr>
          <w:rFonts w:eastAsia="Encode Sans" w:cs="Encode Sans"/>
          <w:sz w:val="18"/>
          <w:szCs w:val="18"/>
        </w:rPr>
        <w:t xml:space="preserve"> Europe and North America</w:t>
      </w:r>
    </w:p>
    <w:p w:rsidR="00EF0E92" w:rsidRPr="001618F8" w:rsidRDefault="00EF0E92" w:rsidP="00EF0E92">
      <w:pPr>
        <w:numPr>
          <w:ilvl w:val="0"/>
          <w:numId w:val="13"/>
        </w:numPr>
        <w:shd w:val="clear" w:color="auto" w:fill="FFFFFF"/>
        <w:spacing w:after="0"/>
        <w:jc w:val="left"/>
        <w:rPr>
          <w:rFonts w:eastAsia="Encode Sans" w:cs="Encode Sans"/>
          <w:sz w:val="18"/>
          <w:szCs w:val="18"/>
        </w:rPr>
      </w:pPr>
      <w:r w:rsidRPr="001618F8">
        <w:rPr>
          <w:rFonts w:eastAsia="Encode Sans" w:cs="Encode Sans"/>
          <w:sz w:val="18"/>
          <w:szCs w:val="18"/>
        </w:rPr>
        <w:t>Plans include dual battery chemistr</w:t>
      </w:r>
      <w:r>
        <w:rPr>
          <w:rFonts w:eastAsia="Encode Sans" w:cs="Encode Sans"/>
          <w:sz w:val="18"/>
          <w:szCs w:val="18"/>
        </w:rPr>
        <w:t>ies</w:t>
      </w:r>
      <w:r w:rsidRPr="001618F8">
        <w:rPr>
          <w:rFonts w:eastAsia="Encode Sans" w:cs="Encode Sans"/>
          <w:sz w:val="18"/>
          <w:szCs w:val="18"/>
        </w:rPr>
        <w:t xml:space="preserve">: a high energy-density option and a nickel cobalt-free alternative </w:t>
      </w:r>
      <w:r w:rsidR="00CF0E63">
        <w:rPr>
          <w:rFonts w:eastAsia="Encode Sans" w:cs="Encode Sans"/>
          <w:sz w:val="18"/>
          <w:szCs w:val="18"/>
        </w:rPr>
        <w:t>by 2024</w:t>
      </w:r>
    </w:p>
    <w:p w:rsidR="00EF0E92" w:rsidRPr="001618F8" w:rsidRDefault="00EF0E92" w:rsidP="00EF0E92">
      <w:pPr>
        <w:numPr>
          <w:ilvl w:val="0"/>
          <w:numId w:val="13"/>
        </w:numPr>
        <w:shd w:val="clear" w:color="auto" w:fill="FFFFFF"/>
        <w:spacing w:after="0"/>
        <w:jc w:val="left"/>
        <w:rPr>
          <w:rFonts w:eastAsia="Encode Sans" w:cs="Encode Sans"/>
          <w:sz w:val="18"/>
          <w:szCs w:val="18"/>
        </w:rPr>
      </w:pPr>
      <w:r w:rsidRPr="001618F8">
        <w:rPr>
          <w:rFonts w:eastAsia="Encode Sans" w:cs="Encode Sans"/>
          <w:sz w:val="18"/>
          <w:szCs w:val="18"/>
        </w:rPr>
        <w:t>Solid state battery technology introduction planned in 2026</w:t>
      </w:r>
    </w:p>
    <w:p w:rsidR="00EF0E92" w:rsidRPr="001618F8" w:rsidRDefault="00EF0E92" w:rsidP="008177DC">
      <w:pPr>
        <w:shd w:val="clear" w:color="auto" w:fill="FFFFFF"/>
        <w:spacing w:after="0"/>
        <w:ind w:left="720"/>
        <w:jc w:val="left"/>
        <w:rPr>
          <w:rFonts w:eastAsia="Encode Sans" w:cs="Encode Sans"/>
          <w:sz w:val="18"/>
          <w:szCs w:val="18"/>
        </w:rPr>
      </w:pPr>
    </w:p>
    <w:p w:rsidR="004D62E7" w:rsidRDefault="004D62E7" w:rsidP="004D62E7">
      <w:pPr>
        <w:shd w:val="clear" w:color="auto" w:fill="FFFFFF"/>
        <w:spacing w:after="0"/>
        <w:rPr>
          <w:rFonts w:eastAsia="Encode Sans" w:cs="Encode Sans"/>
          <w:b/>
          <w:color w:val="243782" w:themeColor="text2"/>
          <w:sz w:val="18"/>
          <w:szCs w:val="18"/>
        </w:rPr>
      </w:pPr>
    </w:p>
    <w:p w:rsidR="001618F8" w:rsidRDefault="0003269E" w:rsidP="004D62E7">
      <w:pPr>
        <w:spacing w:after="0"/>
        <w:rPr>
          <w:rFonts w:ascii="Encode Sans ExpandedLight" w:hAnsi="Encode Sans ExpandedLight"/>
          <w:sz w:val="21"/>
          <w:szCs w:val="21"/>
          <w:lang w:val="en-GB"/>
        </w:rPr>
      </w:pPr>
      <w:r w:rsidRPr="00B918EE">
        <w:rPr>
          <w:rFonts w:ascii="Encode Sans ExpandedLight" w:hAnsi="Encode Sans ExpandedLight"/>
          <w:sz w:val="21"/>
          <w:szCs w:val="21"/>
          <w:lang w:val="en-GB"/>
        </w:rPr>
        <w:t>A</w:t>
      </w:r>
      <w:r w:rsidR="004D62E7">
        <w:rPr>
          <w:rFonts w:ascii="Encode Sans ExpandedLight" w:hAnsi="Encode Sans ExpandedLight"/>
          <w:sz w:val="21"/>
          <w:szCs w:val="21"/>
          <w:lang w:val="en-GB"/>
        </w:rPr>
        <w:t>MSTERDAM</w:t>
      </w:r>
      <w:r w:rsidR="001618F8">
        <w:rPr>
          <w:rFonts w:ascii="Encode Sans ExpandedLight" w:hAnsi="Encode Sans ExpandedLight"/>
          <w:sz w:val="21"/>
          <w:szCs w:val="21"/>
          <w:lang w:val="en-GB"/>
        </w:rPr>
        <w:t>, July 8</w:t>
      </w:r>
      <w:r w:rsidR="00221FEB" w:rsidRPr="00B918EE">
        <w:rPr>
          <w:rFonts w:ascii="Encode Sans ExpandedLight" w:hAnsi="Encode Sans ExpandedLight"/>
          <w:sz w:val="21"/>
          <w:szCs w:val="21"/>
          <w:lang w:val="en-GB"/>
        </w:rPr>
        <w:t xml:space="preserve">, 2021 - </w:t>
      </w:r>
      <w:hyperlink r:id="rId8" w:history="1">
        <w:r w:rsidR="001618F8" w:rsidRPr="00265F16">
          <w:rPr>
            <w:rStyle w:val="Hyperlink"/>
            <w:rFonts w:ascii="Encode Sans ExpandedLight" w:hAnsi="Encode Sans ExpandedLight"/>
            <w:sz w:val="21"/>
            <w:szCs w:val="21"/>
            <w:lang w:val="en-GB"/>
          </w:rPr>
          <w:t>Stellantis N.V.</w:t>
        </w:r>
      </w:hyperlink>
      <w:r w:rsidR="001618F8" w:rsidRPr="001618F8">
        <w:rPr>
          <w:rFonts w:ascii="Encode Sans ExpandedLight" w:hAnsi="Encode Sans ExpandedLight"/>
          <w:sz w:val="21"/>
          <w:szCs w:val="21"/>
          <w:lang w:val="en-GB"/>
        </w:rPr>
        <w:t xml:space="preserve"> (NYSE / MTA / Euronext Paris: STLA) </w:t>
      </w:r>
      <w:r w:rsidR="00EF0E92">
        <w:rPr>
          <w:rFonts w:ascii="Encode Sans ExpandedLight" w:hAnsi="Encode Sans ExpandedLight"/>
          <w:sz w:val="21"/>
          <w:szCs w:val="21"/>
          <w:lang w:val="en-GB"/>
        </w:rPr>
        <w:t>presented today</w:t>
      </w:r>
      <w:r w:rsidR="001618F8" w:rsidRPr="001618F8">
        <w:rPr>
          <w:rFonts w:ascii="Encode Sans ExpandedLight" w:hAnsi="Encode Sans ExpandedLight"/>
          <w:sz w:val="21"/>
          <w:szCs w:val="21"/>
          <w:lang w:val="en-GB"/>
        </w:rPr>
        <w:t xml:space="preserve"> a comprehensive</w:t>
      </w:r>
      <w:r w:rsidR="00EF0E92">
        <w:rPr>
          <w:rFonts w:ascii="Encode Sans ExpandedLight" w:hAnsi="Encode Sans ExpandedLight"/>
          <w:sz w:val="21"/>
          <w:szCs w:val="21"/>
          <w:lang w:val="en-GB"/>
        </w:rPr>
        <w:t xml:space="preserve"> </w:t>
      </w:r>
      <w:r w:rsidR="001618F8" w:rsidRPr="001618F8">
        <w:rPr>
          <w:rFonts w:ascii="Encode Sans ExpandedLight" w:hAnsi="Encode Sans ExpandedLight"/>
          <w:sz w:val="21"/>
          <w:szCs w:val="21"/>
          <w:lang w:val="en-GB"/>
        </w:rPr>
        <w:t>electrification strategy that delivers exciting, class-</w:t>
      </w:r>
      <w:r w:rsidR="003110EE">
        <w:rPr>
          <w:rFonts w:ascii="Encode Sans ExpandedLight" w:hAnsi="Encode Sans ExpandedLight"/>
          <w:sz w:val="21"/>
          <w:szCs w:val="21"/>
          <w:lang w:val="en-GB"/>
        </w:rPr>
        <w:t>leading vehicles for the C</w:t>
      </w:r>
      <w:r w:rsidR="001618F8" w:rsidRPr="001618F8">
        <w:rPr>
          <w:rFonts w:ascii="Encode Sans ExpandedLight" w:hAnsi="Encode Sans ExpandedLight"/>
          <w:sz w:val="21"/>
          <w:szCs w:val="21"/>
          <w:lang w:val="en-GB"/>
        </w:rPr>
        <w:t>ompany’s iconic brands, while leveraging in-house expertise, partnerships and joint ventures to deliver advanced technology at affordable prices.</w:t>
      </w:r>
      <w:r w:rsidR="00265F16">
        <w:rPr>
          <w:rFonts w:ascii="Encode Sans ExpandedLight" w:hAnsi="Encode Sans ExpandedLight"/>
          <w:sz w:val="21"/>
          <w:szCs w:val="21"/>
          <w:lang w:val="en-GB"/>
        </w:rPr>
        <w:t xml:space="preserve"> </w:t>
      </w:r>
      <w:r w:rsidR="00EF0E92">
        <w:rPr>
          <w:rFonts w:ascii="Encode Sans ExpandedLight" w:hAnsi="Encode Sans ExpandedLight"/>
          <w:sz w:val="21"/>
          <w:szCs w:val="21"/>
          <w:lang w:val="en-GB"/>
        </w:rPr>
        <w:t xml:space="preserve">This strategy will allow the Company to target </w:t>
      </w:r>
      <w:r w:rsidR="001618F8" w:rsidRPr="001618F8">
        <w:rPr>
          <w:rFonts w:ascii="Encode Sans ExpandedLight" w:hAnsi="Encode Sans ExpandedLight"/>
          <w:sz w:val="21"/>
          <w:szCs w:val="21"/>
          <w:lang w:val="en-GB"/>
        </w:rPr>
        <w:t xml:space="preserve">sustainable, double-digit Adjusted </w:t>
      </w:r>
      <w:r w:rsidR="003110EE">
        <w:rPr>
          <w:rFonts w:ascii="Encode Sans ExpandedLight" w:hAnsi="Encode Sans ExpandedLight"/>
          <w:sz w:val="21"/>
          <w:szCs w:val="21"/>
          <w:lang w:val="en-GB"/>
        </w:rPr>
        <w:t>O</w:t>
      </w:r>
      <w:r w:rsidR="001618F8" w:rsidRPr="001618F8">
        <w:rPr>
          <w:rFonts w:ascii="Encode Sans ExpandedLight" w:hAnsi="Encode Sans ExpandedLight"/>
          <w:sz w:val="21"/>
          <w:szCs w:val="21"/>
          <w:lang w:val="en-GB"/>
        </w:rPr>
        <w:t xml:space="preserve">perating </w:t>
      </w:r>
      <w:r w:rsidR="003110EE">
        <w:rPr>
          <w:rFonts w:ascii="Encode Sans ExpandedLight" w:hAnsi="Encode Sans ExpandedLight"/>
          <w:sz w:val="21"/>
          <w:szCs w:val="21"/>
          <w:lang w:val="en-GB"/>
        </w:rPr>
        <w:t xml:space="preserve">Income </w:t>
      </w:r>
      <w:r w:rsidR="004D62E7">
        <w:rPr>
          <w:rFonts w:ascii="Encode Sans ExpandedLight" w:hAnsi="Encode Sans ExpandedLight"/>
          <w:sz w:val="21"/>
          <w:szCs w:val="21"/>
          <w:lang w:val="en-GB"/>
        </w:rPr>
        <w:t>m</w:t>
      </w:r>
      <w:r w:rsidR="001618F8" w:rsidRPr="001618F8">
        <w:rPr>
          <w:rFonts w:ascii="Encode Sans ExpandedLight" w:hAnsi="Encode Sans ExpandedLight"/>
          <w:sz w:val="21"/>
          <w:szCs w:val="21"/>
          <w:lang w:val="en-GB"/>
        </w:rPr>
        <w:t>argins in the mid-term.</w:t>
      </w:r>
    </w:p>
    <w:p w:rsidR="004D62E7" w:rsidRPr="004D62E7" w:rsidRDefault="004D62E7" w:rsidP="004D62E7">
      <w:pPr>
        <w:spacing w:after="0"/>
        <w:rPr>
          <w:rFonts w:asciiTheme="majorHAnsi" w:hAnsiTheme="majorHAnsi"/>
          <w:bCs/>
          <w:noProof/>
          <w:color w:val="243782" w:themeColor="text2"/>
          <w:szCs w:val="24"/>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“The customer is always at the heart of Stellantis and our commitment with this €30 billion</w:t>
      </w:r>
      <w:r w:rsidR="00EF0E92">
        <w:rPr>
          <w:rFonts w:ascii="Encode Sans ExpandedLight" w:hAnsi="Encode Sans ExpandedLight"/>
          <w:sz w:val="21"/>
          <w:szCs w:val="21"/>
          <w:lang w:val="en-GB"/>
        </w:rPr>
        <w:t xml:space="preserve"> plus</w:t>
      </w:r>
      <w:r w:rsidRPr="001618F8">
        <w:rPr>
          <w:rFonts w:ascii="Encode Sans ExpandedLight" w:hAnsi="Encode Sans ExpandedLight"/>
          <w:sz w:val="21"/>
          <w:szCs w:val="21"/>
          <w:lang w:val="en-GB"/>
        </w:rPr>
        <w:t xml:space="preserve"> investment</w:t>
      </w:r>
      <w:r w:rsidR="00EF0E92">
        <w:rPr>
          <w:rFonts w:ascii="Encode Sans ExpandedLight" w:hAnsi="Encode Sans ExpandedLight"/>
          <w:sz w:val="21"/>
          <w:szCs w:val="21"/>
          <w:lang w:val="en-GB"/>
        </w:rPr>
        <w:t xml:space="preserve"> plan</w:t>
      </w:r>
      <w:r w:rsidRPr="001618F8">
        <w:rPr>
          <w:rFonts w:ascii="Encode Sans ExpandedLight" w:hAnsi="Encode Sans ExpandedLight"/>
          <w:sz w:val="21"/>
          <w:szCs w:val="21"/>
          <w:lang w:val="en-GB"/>
        </w:rPr>
        <w:t xml:space="preserve"> is to offer iconic vehicles that have the performance, capability, style, comfort and electric range that fit seamlessly into their daily lives,” said Carlos Tavares, Chief Executive Officer, Stellantis. “The strategy we laid out today focuses the right amount of investment on the right technology to reach the market at the right time, ensuring that Stellantis powers the freedom of movement in the most efficient, affordable and sustainable way.”</w:t>
      </w:r>
    </w:p>
    <w:p w:rsidR="004D62E7" w:rsidRPr="001618F8" w:rsidRDefault="004D62E7" w:rsidP="004D62E7">
      <w:pPr>
        <w:spacing w:after="0"/>
        <w:rPr>
          <w:rFonts w:ascii="Encode Sans ExpandedLight" w:hAnsi="Encode Sans ExpandedLight"/>
          <w:sz w:val="21"/>
          <w:szCs w:val="21"/>
          <w:lang w:val="en-GB"/>
        </w:rPr>
      </w:pPr>
    </w:p>
    <w:p w:rsidR="001618F8" w:rsidRPr="001618F8" w:rsidRDefault="001618F8" w:rsidP="004D62E7">
      <w:pPr>
        <w:spacing w:after="0"/>
        <w:rPr>
          <w:rFonts w:ascii="Encode Sans ExpandedLight" w:hAnsi="Encode Sans ExpandedLight"/>
          <w:b/>
          <w:sz w:val="21"/>
          <w:szCs w:val="21"/>
          <w:lang w:val="en-GB"/>
        </w:rPr>
      </w:pPr>
      <w:r w:rsidRPr="001618F8">
        <w:rPr>
          <w:rFonts w:ascii="Encode Sans ExpandedLight" w:hAnsi="Encode Sans ExpandedLight"/>
          <w:b/>
          <w:sz w:val="21"/>
          <w:szCs w:val="21"/>
          <w:lang w:val="en-GB"/>
        </w:rPr>
        <w:t xml:space="preserve">Financial Performance </w:t>
      </w: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 xml:space="preserve">Stellantis </w:t>
      </w:r>
      <w:r w:rsidR="00EF0E92">
        <w:rPr>
          <w:rFonts w:ascii="Encode Sans ExpandedLight" w:hAnsi="Encode Sans ExpandedLight"/>
          <w:sz w:val="21"/>
          <w:szCs w:val="21"/>
          <w:lang w:val="en-GB"/>
        </w:rPr>
        <w:t>plans to achieve</w:t>
      </w:r>
      <w:r w:rsidRPr="001618F8">
        <w:rPr>
          <w:rFonts w:ascii="Encode Sans ExpandedLight" w:hAnsi="Encode Sans ExpandedLight"/>
          <w:sz w:val="21"/>
          <w:szCs w:val="21"/>
          <w:lang w:val="en-GB"/>
        </w:rPr>
        <w:t xml:space="preserve"> increased profitability in the coming years</w:t>
      </w:r>
      <w:r w:rsidR="00EF0E92">
        <w:rPr>
          <w:rFonts w:ascii="Encode Sans ExpandedLight" w:hAnsi="Encode Sans ExpandedLight"/>
          <w:sz w:val="21"/>
          <w:szCs w:val="21"/>
          <w:lang w:val="en-GB"/>
        </w:rPr>
        <w:t>.</w:t>
      </w:r>
      <w:r w:rsidRPr="001618F8">
        <w:rPr>
          <w:rFonts w:ascii="Encode Sans ExpandedLight" w:hAnsi="Encode Sans ExpandedLight"/>
          <w:sz w:val="21"/>
          <w:szCs w:val="21"/>
          <w:lang w:val="en-GB"/>
        </w:rPr>
        <w:t xml:space="preserve"> This will be supported by</w:t>
      </w:r>
      <w:r w:rsidR="00EF0E92">
        <w:rPr>
          <w:rFonts w:ascii="Encode Sans ExpandedLight" w:hAnsi="Encode Sans ExpandedLight"/>
          <w:sz w:val="21"/>
          <w:szCs w:val="21"/>
          <w:lang w:val="en-GB"/>
        </w:rPr>
        <w:t xml:space="preserve"> the execution of the synergy opportunities arising from</w:t>
      </w:r>
      <w:r w:rsidRPr="001618F8">
        <w:rPr>
          <w:rFonts w:ascii="Encode Sans ExpandedLight" w:hAnsi="Encode Sans ExpandedLight"/>
          <w:sz w:val="21"/>
          <w:szCs w:val="21"/>
          <w:lang w:val="en-GB"/>
        </w:rPr>
        <w:t xml:space="preserve"> the formation of Stellantis, with a forecast of</w:t>
      </w:r>
      <w:r w:rsidR="003110EE">
        <w:rPr>
          <w:rFonts w:ascii="Encode Sans ExpandedLight" w:hAnsi="Encode Sans ExpandedLight"/>
          <w:sz w:val="21"/>
          <w:szCs w:val="21"/>
          <w:lang w:val="en-GB"/>
        </w:rPr>
        <w:t xml:space="preserve"> </w:t>
      </w:r>
      <w:r w:rsidR="00EF0E92">
        <w:rPr>
          <w:rFonts w:ascii="Encode Sans ExpandedLight" w:hAnsi="Encode Sans ExpandedLight"/>
          <w:sz w:val="21"/>
          <w:szCs w:val="21"/>
          <w:lang w:val="en-GB"/>
        </w:rPr>
        <w:t xml:space="preserve">annual cash synergies of </w:t>
      </w:r>
      <w:r w:rsidR="00875234">
        <w:rPr>
          <w:rFonts w:ascii="Encode Sans ExpandedLight" w:hAnsi="Encode Sans ExpandedLight"/>
          <w:sz w:val="21"/>
          <w:szCs w:val="21"/>
          <w:lang w:val="en-GB"/>
        </w:rPr>
        <w:t xml:space="preserve">more than </w:t>
      </w:r>
      <w:r w:rsidR="003110EE">
        <w:rPr>
          <w:rFonts w:ascii="Encode Sans ExpandedLight" w:hAnsi="Encode Sans ExpandedLight"/>
          <w:sz w:val="21"/>
          <w:szCs w:val="21"/>
          <w:lang w:val="en-GB"/>
        </w:rPr>
        <w:t>€5 billion</w:t>
      </w:r>
      <w:r w:rsidR="00875234">
        <w:rPr>
          <w:rFonts w:ascii="Encode Sans ExpandedLight" w:hAnsi="Encode Sans ExpandedLight"/>
          <w:sz w:val="21"/>
          <w:szCs w:val="21"/>
          <w:lang w:val="en-GB"/>
        </w:rPr>
        <w:t xml:space="preserve"> at steady state</w:t>
      </w:r>
      <w:r w:rsidRPr="001618F8">
        <w:rPr>
          <w:rFonts w:ascii="Encode Sans ExpandedLight" w:hAnsi="Encode Sans ExpandedLight"/>
          <w:sz w:val="21"/>
          <w:szCs w:val="21"/>
          <w:lang w:val="en-GB"/>
        </w:rPr>
        <w:t>, the roadmap of battery cost reductions</w:t>
      </w:r>
      <w:r w:rsidR="003110EE">
        <w:rPr>
          <w:rFonts w:ascii="Encode Sans ExpandedLight" w:hAnsi="Encode Sans ExpandedLight"/>
          <w:sz w:val="21"/>
          <w:szCs w:val="21"/>
          <w:lang w:val="en-GB"/>
        </w:rPr>
        <w:t>,</w:t>
      </w:r>
      <w:r w:rsidRPr="001618F8">
        <w:rPr>
          <w:rFonts w:ascii="Encode Sans ExpandedLight" w:hAnsi="Encode Sans ExpandedLight"/>
          <w:sz w:val="21"/>
          <w:szCs w:val="21"/>
          <w:lang w:val="en-GB"/>
        </w:rPr>
        <w:t xml:space="preserve"> </w:t>
      </w:r>
      <w:r w:rsidR="00875234">
        <w:rPr>
          <w:rFonts w:ascii="Encode Sans ExpandedLight" w:hAnsi="Encode Sans ExpandedLight"/>
          <w:sz w:val="21"/>
          <w:szCs w:val="21"/>
          <w:lang w:val="en-GB"/>
        </w:rPr>
        <w:t xml:space="preserve">and </w:t>
      </w:r>
      <w:r w:rsidR="00EF0E92">
        <w:rPr>
          <w:rFonts w:ascii="Encode Sans ExpandedLight" w:hAnsi="Encode Sans ExpandedLight"/>
          <w:sz w:val="21"/>
          <w:szCs w:val="21"/>
          <w:lang w:val="en-GB"/>
        </w:rPr>
        <w:t>the continued optimization of distri</w:t>
      </w:r>
      <w:r w:rsidR="00BD29E5">
        <w:rPr>
          <w:rFonts w:ascii="Encode Sans ExpandedLight" w:hAnsi="Encode Sans ExpandedLight"/>
          <w:sz w:val="21"/>
          <w:szCs w:val="21"/>
          <w:lang w:val="en-GB"/>
        </w:rPr>
        <w:t>bution and production costs and</w:t>
      </w:r>
      <w:r w:rsidR="00EF0E92">
        <w:rPr>
          <w:rFonts w:ascii="Encode Sans ExpandedLight" w:hAnsi="Encode Sans ExpandedLight"/>
          <w:sz w:val="21"/>
          <w:szCs w:val="21"/>
          <w:lang w:val="en-GB"/>
        </w:rPr>
        <w:t xml:space="preserve"> realization of </w:t>
      </w:r>
      <w:r w:rsidRPr="001618F8">
        <w:rPr>
          <w:rFonts w:ascii="Encode Sans ExpandedLight" w:hAnsi="Encode Sans ExpandedLight"/>
          <w:sz w:val="21"/>
          <w:szCs w:val="21"/>
          <w:lang w:val="en-GB"/>
        </w:rPr>
        <w:t xml:space="preserve">new revenue streams, in particular from connected services and </w:t>
      </w:r>
      <w:r w:rsidR="00EF0E92">
        <w:rPr>
          <w:rFonts w:ascii="Encode Sans ExpandedLight" w:hAnsi="Encode Sans ExpandedLight"/>
          <w:sz w:val="21"/>
          <w:szCs w:val="21"/>
          <w:lang w:val="en-GB"/>
        </w:rPr>
        <w:t xml:space="preserve">future </w:t>
      </w:r>
      <w:r w:rsidRPr="001618F8">
        <w:rPr>
          <w:rFonts w:ascii="Encode Sans ExpandedLight" w:hAnsi="Encode Sans ExpandedLight"/>
          <w:sz w:val="21"/>
          <w:szCs w:val="21"/>
          <w:lang w:val="en-GB"/>
        </w:rPr>
        <w:t>software business models.</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lastRenderedPageBreak/>
        <w:t>As a result, Stel</w:t>
      </w:r>
      <w:r w:rsidR="004D62E7">
        <w:rPr>
          <w:rFonts w:ascii="Encode Sans ExpandedLight" w:hAnsi="Encode Sans ExpandedLight"/>
          <w:sz w:val="21"/>
          <w:szCs w:val="21"/>
          <w:lang w:val="en-GB"/>
        </w:rPr>
        <w:t>lantis is targeting to achieve sustainable, double-</w:t>
      </w:r>
      <w:r w:rsidRPr="001618F8">
        <w:rPr>
          <w:rFonts w:ascii="Encode Sans ExpandedLight" w:hAnsi="Encode Sans ExpandedLight"/>
          <w:sz w:val="21"/>
          <w:szCs w:val="21"/>
          <w:lang w:val="en-GB"/>
        </w:rPr>
        <w:t>d</w:t>
      </w:r>
      <w:r w:rsidR="003110EE">
        <w:rPr>
          <w:rFonts w:ascii="Encode Sans ExpandedLight" w:hAnsi="Encode Sans ExpandedLight"/>
          <w:sz w:val="21"/>
          <w:szCs w:val="21"/>
          <w:lang w:val="en-GB"/>
        </w:rPr>
        <w:t>igit Adjusted Operating Income m</w:t>
      </w:r>
      <w:r w:rsidRPr="001618F8">
        <w:rPr>
          <w:rFonts w:ascii="Encode Sans ExpandedLight" w:hAnsi="Encode Sans ExpandedLight"/>
          <w:sz w:val="21"/>
          <w:szCs w:val="21"/>
          <w:lang w:val="en-GB"/>
        </w:rPr>
        <w:t>argin</w:t>
      </w:r>
      <w:r w:rsidR="003110EE">
        <w:rPr>
          <w:rFonts w:ascii="Encode Sans ExpandedLight" w:hAnsi="Encode Sans ExpandedLight"/>
          <w:sz w:val="21"/>
          <w:szCs w:val="21"/>
          <w:lang w:val="en-GB"/>
        </w:rPr>
        <w:t>s in the mid-term</w:t>
      </w:r>
      <w:r w:rsidR="00EF0E92">
        <w:rPr>
          <w:rFonts w:ascii="Encode Sans ExpandedLight" w:hAnsi="Encode Sans ExpandedLight"/>
          <w:sz w:val="21"/>
          <w:szCs w:val="21"/>
          <w:lang w:val="en-GB"/>
        </w:rPr>
        <w:t xml:space="preserve"> (~2026)</w:t>
      </w:r>
      <w:r w:rsidRPr="001618F8">
        <w:rPr>
          <w:rFonts w:ascii="Encode Sans ExpandedLight" w:hAnsi="Encode Sans ExpandedLight"/>
          <w:sz w:val="21"/>
          <w:szCs w:val="21"/>
          <w:lang w:val="en-GB"/>
        </w:rPr>
        <w:t>, making the Company a benchmark in profitability in the provision of electrified mobility to customers on a global basis.</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Stellantis intends to become the market leader in low emission vehicles (LEV). Through 2030, Stellantis’ LEV mix for passenger cars in Europe is targeted to steadily grow to over 70 percent – 10 percentage points ahead of current industry assumptions for overall market mix. In the U.S., Stellantis’ LEV mix for passenger cars and light-duty trucks is expected to be more than 40 percent by 2030.</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 xml:space="preserve">To execute this strategy, Stellantis plans to invest more than €30 billion through 2025 in </w:t>
      </w:r>
      <w:r w:rsidRPr="008177DC">
        <w:rPr>
          <w:rFonts w:ascii="Encode Sans ExpandedLight" w:hAnsi="Encode Sans ExpandedLight"/>
          <w:sz w:val="21"/>
          <w:szCs w:val="21"/>
          <w:lang w:val="en-GB"/>
        </w:rPr>
        <w:t>electrification</w:t>
      </w:r>
      <w:r w:rsidR="00D75DA9" w:rsidRPr="008177DC">
        <w:rPr>
          <w:rFonts w:ascii="Encode Sans ExpandedLight" w:hAnsi="Encode Sans ExpandedLight"/>
          <w:sz w:val="21"/>
          <w:szCs w:val="21"/>
          <w:lang w:val="en-GB"/>
        </w:rPr>
        <w:t xml:space="preserve"> and</w:t>
      </w:r>
      <w:r w:rsidRPr="008177DC">
        <w:rPr>
          <w:rFonts w:ascii="Encode Sans ExpandedLight" w:hAnsi="Encode Sans ExpandedLight"/>
          <w:sz w:val="21"/>
          <w:szCs w:val="21"/>
          <w:lang w:val="en-GB"/>
        </w:rPr>
        <w:t xml:space="preserve"> software development,</w:t>
      </w:r>
      <w:r w:rsidRPr="001618F8">
        <w:rPr>
          <w:rFonts w:ascii="Encode Sans ExpandedLight" w:hAnsi="Encode Sans ExpandedLight"/>
          <w:sz w:val="21"/>
          <w:szCs w:val="21"/>
          <w:lang w:val="en-GB"/>
        </w:rPr>
        <w:t xml:space="preserve"> including equity investments made in joint ventures to fund their activities, while targeting to continue to be 30 percent more efficient than the industry with respect to </w:t>
      </w:r>
      <w:r w:rsidR="00EF0E92">
        <w:rPr>
          <w:rFonts w:ascii="Encode Sans ExpandedLight" w:hAnsi="Encode Sans ExpandedLight"/>
          <w:sz w:val="21"/>
          <w:szCs w:val="21"/>
          <w:lang w:val="en-GB"/>
        </w:rPr>
        <w:t>total C</w:t>
      </w:r>
      <w:r w:rsidRPr="001618F8">
        <w:rPr>
          <w:rFonts w:ascii="Encode Sans ExpandedLight" w:hAnsi="Encode Sans ExpandedLight"/>
          <w:sz w:val="21"/>
          <w:szCs w:val="21"/>
          <w:lang w:val="en-GB"/>
        </w:rPr>
        <w:t xml:space="preserve">apex and R&amp;D spend versus revenues. </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The Company remains committed to growing its commercial vehicle leadership in Europe and strengthening its position in North America while aiming to be the global leader in e-Commercial vehicles. Leveraging knowledge and embracing synergies, the commercial vehicle electrification rollout will extend to all products and all regions over the next three years, including the delivery of hydrogen fuel cell medium vans by the end of 2021.</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The Stellantis electrification roadmap encompasses the entire value chain. The Company’s EV battery sourcing strategy is to secure more than 130 gigawatt hours (</w:t>
      </w:r>
      <w:proofErr w:type="spellStart"/>
      <w:r w:rsidRPr="001618F8">
        <w:rPr>
          <w:rFonts w:ascii="Encode Sans ExpandedLight" w:hAnsi="Encode Sans ExpandedLight"/>
          <w:sz w:val="21"/>
          <w:szCs w:val="21"/>
          <w:lang w:val="en-GB"/>
        </w:rPr>
        <w:t>GWh</w:t>
      </w:r>
      <w:proofErr w:type="spellEnd"/>
      <w:r w:rsidRPr="001618F8">
        <w:rPr>
          <w:rFonts w:ascii="Encode Sans ExpandedLight" w:hAnsi="Encode Sans ExpandedLight"/>
          <w:sz w:val="21"/>
          <w:szCs w:val="21"/>
          <w:lang w:val="en-GB"/>
        </w:rPr>
        <w:t xml:space="preserve">) of capacity by 2025 and more than 260 </w:t>
      </w:r>
      <w:proofErr w:type="spellStart"/>
      <w:r w:rsidRPr="001618F8">
        <w:rPr>
          <w:rFonts w:ascii="Encode Sans ExpandedLight" w:hAnsi="Encode Sans ExpandedLight"/>
          <w:sz w:val="21"/>
          <w:szCs w:val="21"/>
          <w:lang w:val="en-GB"/>
        </w:rPr>
        <w:t>GWh</w:t>
      </w:r>
      <w:proofErr w:type="spellEnd"/>
      <w:r w:rsidRPr="001618F8">
        <w:rPr>
          <w:rFonts w:ascii="Encode Sans ExpandedLight" w:hAnsi="Encode Sans ExpandedLight"/>
          <w:sz w:val="21"/>
          <w:szCs w:val="21"/>
          <w:lang w:val="en-GB"/>
        </w:rPr>
        <w:t xml:space="preserve"> by 2030. The EV battery and component needs will be met with a total of five “</w:t>
      </w:r>
      <w:proofErr w:type="spellStart"/>
      <w:r w:rsidR="00B450AC">
        <w:rPr>
          <w:rFonts w:ascii="Encode Sans ExpandedLight" w:hAnsi="Encode Sans ExpandedLight"/>
          <w:sz w:val="21"/>
          <w:szCs w:val="21"/>
          <w:lang w:val="en-GB"/>
        </w:rPr>
        <w:t>g</w:t>
      </w:r>
      <w:r w:rsidRPr="001618F8">
        <w:rPr>
          <w:rFonts w:ascii="Encode Sans ExpandedLight" w:hAnsi="Encode Sans ExpandedLight"/>
          <w:sz w:val="21"/>
          <w:szCs w:val="21"/>
          <w:lang w:val="en-GB"/>
        </w:rPr>
        <w:t>igafactories</w:t>
      </w:r>
      <w:proofErr w:type="spellEnd"/>
      <w:r w:rsidRPr="001618F8">
        <w:rPr>
          <w:rFonts w:ascii="Encode Sans ExpandedLight" w:hAnsi="Encode Sans ExpandedLight"/>
          <w:sz w:val="21"/>
          <w:szCs w:val="21"/>
          <w:lang w:val="en-GB"/>
        </w:rPr>
        <w:t>” in Europe and North America, completed with additional supply contracts and partnerships to support total demand.</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Stellantis has signed MOUs with two lithium geothermal brine process partners in North America and Europe to ensure a sustainable supply of lithium, identified as the most critical battery raw material w</w:t>
      </w:r>
      <w:r w:rsidR="003110EE">
        <w:rPr>
          <w:rFonts w:ascii="Encode Sans ExpandedLight" w:hAnsi="Encode Sans ExpandedLight"/>
          <w:sz w:val="21"/>
          <w:szCs w:val="21"/>
          <w:lang w:val="en-GB"/>
        </w:rPr>
        <w:t xml:space="preserve">ith regard to availability, as well as </w:t>
      </w:r>
      <w:r w:rsidRPr="001618F8">
        <w:rPr>
          <w:rFonts w:ascii="Encode Sans ExpandedLight" w:hAnsi="Encode Sans ExpandedLight"/>
          <w:sz w:val="21"/>
          <w:szCs w:val="21"/>
          <w:lang w:val="en-GB"/>
        </w:rPr>
        <w:t>have the ability to integrate lithium into the supply chain once available.</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 xml:space="preserve">In addition to sourcing strategies, Stellantis’ technical expertise and manufacturing synergies will drive battery costs lower. Electric vehicle battery pack costs are targeted to be reduced by more than 40 percent from 2020 to 2024 and by more than an additional 20 percent by 2030. All aspects of the battery pack play a role in reducing the costs – optimizing the overall pack, simplifying the format of the modules, increasing the size of the battery cells and upgrading the battery chemistry. </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The Company intends to maximize the full value of the battery life cycle through repair, remanufacturing, second-life use and recycling, as well as ensure a sustainable system that prioritizes customer needs and environmental concerns.</w:t>
      </w:r>
    </w:p>
    <w:p w:rsidR="004D62E7" w:rsidRPr="001618F8" w:rsidRDefault="004D62E7" w:rsidP="004D62E7">
      <w:pPr>
        <w:spacing w:after="0"/>
        <w:rPr>
          <w:rFonts w:ascii="Encode Sans ExpandedLight" w:hAnsi="Encode Sans ExpandedLight"/>
          <w:sz w:val="21"/>
          <w:szCs w:val="21"/>
          <w:lang w:val="en-GB"/>
        </w:rPr>
      </w:pPr>
    </w:p>
    <w:p w:rsidR="001618F8" w:rsidRPr="001618F8" w:rsidRDefault="001618F8" w:rsidP="004D62E7">
      <w:pPr>
        <w:spacing w:after="0"/>
        <w:rPr>
          <w:rFonts w:ascii="Encode Sans ExpandedLight" w:hAnsi="Encode Sans ExpandedLight"/>
          <w:b/>
          <w:sz w:val="21"/>
          <w:szCs w:val="21"/>
          <w:lang w:val="en-GB"/>
        </w:rPr>
      </w:pPr>
      <w:r w:rsidRPr="001618F8">
        <w:rPr>
          <w:rFonts w:ascii="Encode Sans ExpandedLight" w:hAnsi="Encode Sans ExpandedLight"/>
          <w:b/>
          <w:sz w:val="21"/>
          <w:szCs w:val="21"/>
          <w:lang w:val="en-GB"/>
        </w:rPr>
        <w:t>Customer Focused</w:t>
      </w: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 xml:space="preserve">Affordability is a priority at Stellantis, as the Company is targeting for the total cost of ownership of </w:t>
      </w:r>
      <w:r w:rsidRPr="009B5C99">
        <w:rPr>
          <w:rFonts w:ascii="Encode Sans ExpandedLight" w:hAnsi="Encode Sans ExpandedLight"/>
          <w:sz w:val="21"/>
          <w:szCs w:val="21"/>
          <w:lang w:val="en-GB"/>
        </w:rPr>
        <w:t>EVs</w:t>
      </w:r>
      <w:r w:rsidRPr="001618F8">
        <w:rPr>
          <w:rFonts w:ascii="Encode Sans ExpandedLight" w:hAnsi="Encode Sans ExpandedLight"/>
          <w:sz w:val="21"/>
          <w:szCs w:val="21"/>
          <w:lang w:val="en-GB"/>
        </w:rPr>
        <w:t xml:space="preserve"> to be equivalent to internal combustion engine vehicles </w:t>
      </w:r>
      <w:r w:rsidR="00EF0E92">
        <w:rPr>
          <w:rFonts w:ascii="Encode Sans ExpandedLight" w:hAnsi="Encode Sans ExpandedLight"/>
          <w:sz w:val="21"/>
          <w:szCs w:val="21"/>
          <w:lang w:val="en-GB"/>
        </w:rPr>
        <w:t>by</w:t>
      </w:r>
      <w:r w:rsidRPr="001618F8">
        <w:rPr>
          <w:rFonts w:ascii="Encode Sans ExpandedLight" w:hAnsi="Encode Sans ExpandedLight"/>
          <w:sz w:val="21"/>
          <w:szCs w:val="21"/>
          <w:lang w:val="en-GB"/>
        </w:rPr>
        <w:t xml:space="preserve"> 2026. </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Electrification is not a “one size fits all” p</w:t>
      </w:r>
      <w:r w:rsidR="004D62E7">
        <w:rPr>
          <w:rFonts w:ascii="Encode Sans ExpandedLight" w:hAnsi="Encode Sans ExpandedLight"/>
          <w:sz w:val="21"/>
          <w:szCs w:val="21"/>
          <w:lang w:val="en-GB"/>
        </w:rPr>
        <w:t>lan at Stellantis. Each of the C</w:t>
      </w:r>
      <w:r w:rsidRPr="001618F8">
        <w:rPr>
          <w:rFonts w:ascii="Encode Sans ExpandedLight" w:hAnsi="Encode Sans ExpandedLight"/>
          <w:sz w:val="21"/>
          <w:szCs w:val="21"/>
          <w:lang w:val="en-GB"/>
        </w:rPr>
        <w:t>ompany’s 14 iconic brands is committed to offering best-in-class fully electrified solutions and doing so in a way that enhances the DNA of each brand. Stellantis revealed the following statements expressing each of the brand’s electrification approach:</w:t>
      </w:r>
    </w:p>
    <w:p w:rsidR="004D62E7" w:rsidRPr="001618F8" w:rsidRDefault="004D62E7" w:rsidP="004D62E7">
      <w:pPr>
        <w:spacing w:after="0"/>
        <w:rPr>
          <w:rFonts w:ascii="Encode Sans ExpandedLight" w:hAnsi="Encode Sans ExpandedLight"/>
          <w:sz w:val="21"/>
          <w:szCs w:val="21"/>
          <w:lang w:val="en-GB"/>
        </w:rPr>
      </w:pPr>
    </w:p>
    <w:p w:rsidR="001618F8" w:rsidRPr="001618F8" w:rsidRDefault="001618F8" w:rsidP="004D62E7">
      <w:pPr>
        <w:spacing w:after="0"/>
        <w:ind w:left="708"/>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r>
      <w:proofErr w:type="spellStart"/>
      <w:r w:rsidRPr="001618F8">
        <w:rPr>
          <w:rFonts w:ascii="Encode Sans ExpandedLight" w:hAnsi="Encode Sans ExpandedLight"/>
          <w:sz w:val="21"/>
          <w:szCs w:val="21"/>
          <w:lang w:val="en-GB"/>
        </w:rPr>
        <w:t>Abarth</w:t>
      </w:r>
      <w:proofErr w:type="spellEnd"/>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Heating Up People, But Not the Planet</w:t>
      </w:r>
      <w:r w:rsidRPr="001618F8">
        <w:rPr>
          <w:rFonts w:ascii="Encode Sans ExpandedLight" w:hAnsi="Encode Sans ExpandedLight" w:cs="Encode Sans ExpandedLight"/>
          <w:sz w:val="21"/>
          <w:szCs w:val="21"/>
          <w:lang w:val="en-GB"/>
        </w:rPr>
        <w:t>”</w:t>
      </w:r>
    </w:p>
    <w:p w:rsidR="001618F8" w:rsidRPr="001618F8" w:rsidRDefault="001618F8" w:rsidP="004D62E7">
      <w:pPr>
        <w:spacing w:after="0"/>
        <w:ind w:left="708"/>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Alfa Romeo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From 2024, Alfa </w:t>
      </w:r>
      <w:r w:rsidR="00143E25">
        <w:rPr>
          <w:rFonts w:ascii="Encode Sans ExpandedLight" w:hAnsi="Encode Sans ExpandedLight"/>
          <w:sz w:val="21"/>
          <w:szCs w:val="21"/>
          <w:lang w:val="en-GB"/>
        </w:rPr>
        <w:t xml:space="preserve">Romeo </w:t>
      </w:r>
      <w:bookmarkStart w:id="0" w:name="_GoBack"/>
      <w:bookmarkEnd w:id="0"/>
      <w:r w:rsidRPr="001618F8">
        <w:rPr>
          <w:rFonts w:ascii="Encode Sans ExpandedLight" w:hAnsi="Encode Sans ExpandedLight"/>
          <w:sz w:val="21"/>
          <w:szCs w:val="21"/>
          <w:lang w:val="en-GB"/>
        </w:rPr>
        <w:t>Becomes Alfa e-Romeo”</w:t>
      </w:r>
    </w:p>
    <w:p w:rsidR="001618F8" w:rsidRPr="001618F8" w:rsidRDefault="001618F8" w:rsidP="004D62E7">
      <w:pPr>
        <w:spacing w:after="0"/>
        <w:ind w:left="708"/>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Chrysler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Clean Technology for a New Generation of Families</w:t>
      </w:r>
      <w:r w:rsidRPr="001618F8">
        <w:rPr>
          <w:rFonts w:ascii="Encode Sans ExpandedLight" w:hAnsi="Encode Sans ExpandedLight" w:cs="Encode Sans ExpandedLight"/>
          <w:sz w:val="21"/>
          <w:szCs w:val="21"/>
          <w:lang w:val="en-GB"/>
        </w:rPr>
        <w:t>”</w:t>
      </w:r>
    </w:p>
    <w:p w:rsidR="001618F8" w:rsidRPr="001618F8" w:rsidRDefault="001618F8" w:rsidP="004D62E7">
      <w:pPr>
        <w:spacing w:after="0"/>
        <w:ind w:left="708"/>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Citro</w:t>
      </w:r>
      <w:r w:rsidRPr="001618F8">
        <w:rPr>
          <w:rFonts w:ascii="Encode Sans ExpandedLight" w:hAnsi="Encode Sans ExpandedLight" w:cs="Encode Sans ExpandedLight"/>
          <w:sz w:val="21"/>
          <w:szCs w:val="21"/>
          <w:lang w:val="en-GB"/>
        </w:rPr>
        <w:t>ë</w:t>
      </w:r>
      <w:r w:rsidRPr="001618F8">
        <w:rPr>
          <w:rFonts w:ascii="Encode Sans ExpandedLight" w:hAnsi="Encode Sans ExpandedLight"/>
          <w:sz w:val="21"/>
          <w:szCs w:val="21"/>
          <w:lang w:val="en-GB"/>
        </w:rPr>
        <w:t xml:space="preserve">n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Citro</w:t>
      </w:r>
      <w:r w:rsidRPr="001618F8">
        <w:rPr>
          <w:rFonts w:ascii="Encode Sans ExpandedLight" w:hAnsi="Encode Sans ExpandedLight" w:cs="Encode Sans ExpandedLight"/>
          <w:sz w:val="21"/>
          <w:szCs w:val="21"/>
          <w:lang w:val="en-GB"/>
        </w:rPr>
        <w:t>ë</w:t>
      </w:r>
      <w:r w:rsidRPr="001618F8">
        <w:rPr>
          <w:rFonts w:ascii="Encode Sans ExpandedLight" w:hAnsi="Encode Sans ExpandedLight"/>
          <w:sz w:val="21"/>
          <w:szCs w:val="21"/>
          <w:lang w:val="en-GB"/>
        </w:rPr>
        <w:t>n Electric: Well-Being for All!</w:t>
      </w:r>
      <w:r w:rsidRPr="001618F8">
        <w:rPr>
          <w:rFonts w:ascii="Encode Sans ExpandedLight" w:hAnsi="Encode Sans ExpandedLight" w:cs="Encode Sans ExpandedLight"/>
          <w:sz w:val="21"/>
          <w:szCs w:val="21"/>
          <w:lang w:val="en-GB"/>
        </w:rPr>
        <w:t>”</w:t>
      </w:r>
    </w:p>
    <w:p w:rsidR="001618F8" w:rsidRPr="001618F8" w:rsidRDefault="001618F8" w:rsidP="004D62E7">
      <w:pPr>
        <w:spacing w:after="0"/>
        <w:ind w:left="708"/>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Dodge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Tear Up the Streets</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Not the Planet</w:t>
      </w:r>
      <w:r w:rsidRPr="001618F8">
        <w:rPr>
          <w:rFonts w:ascii="Encode Sans ExpandedLight" w:hAnsi="Encode Sans ExpandedLight" w:cs="Encode Sans ExpandedLight"/>
          <w:sz w:val="21"/>
          <w:szCs w:val="21"/>
          <w:lang w:val="en-GB"/>
        </w:rPr>
        <w:t>”</w:t>
      </w:r>
    </w:p>
    <w:p w:rsidR="001618F8" w:rsidRPr="001618F8" w:rsidRDefault="001618F8" w:rsidP="004D62E7">
      <w:pPr>
        <w:spacing w:after="0"/>
        <w:ind w:left="708"/>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DS Automobiles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The Art of Travel, Magnified</w:t>
      </w:r>
      <w:r w:rsidRPr="001618F8">
        <w:rPr>
          <w:rFonts w:ascii="Encode Sans ExpandedLight" w:hAnsi="Encode Sans ExpandedLight" w:cs="Encode Sans ExpandedLight"/>
          <w:sz w:val="21"/>
          <w:szCs w:val="21"/>
          <w:lang w:val="en-GB"/>
        </w:rPr>
        <w:t>”</w:t>
      </w:r>
    </w:p>
    <w:p w:rsidR="001618F8" w:rsidRPr="001618F8" w:rsidRDefault="001618F8" w:rsidP="004D62E7">
      <w:pPr>
        <w:spacing w:after="0"/>
        <w:ind w:left="708"/>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Fiat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“It’s Only Green When It’s Green for All”</w:t>
      </w:r>
    </w:p>
    <w:p w:rsidR="001618F8" w:rsidRPr="001618F8" w:rsidRDefault="001618F8" w:rsidP="004D62E7">
      <w:pPr>
        <w:spacing w:after="0"/>
        <w:ind w:left="708"/>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Jeep</w:t>
      </w:r>
      <w:r w:rsidRPr="004D62E7">
        <w:rPr>
          <w:rFonts w:ascii="Encode Sans ExpandedLight" w:hAnsi="Encode Sans ExpandedLight" w:cs="Encode Sans ExpandedLight"/>
          <w:sz w:val="21"/>
          <w:szCs w:val="21"/>
          <w:vertAlign w:val="subscript"/>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Zero Emission Freedom</w:t>
      </w:r>
      <w:r w:rsidRPr="001618F8">
        <w:rPr>
          <w:rFonts w:ascii="Encode Sans ExpandedLight" w:hAnsi="Encode Sans ExpandedLight" w:cs="Encode Sans ExpandedLight"/>
          <w:sz w:val="21"/>
          <w:szCs w:val="21"/>
          <w:lang w:val="en-GB"/>
        </w:rPr>
        <w:t>”</w:t>
      </w:r>
    </w:p>
    <w:p w:rsidR="001618F8" w:rsidRPr="001618F8" w:rsidRDefault="001618F8" w:rsidP="004D62E7">
      <w:pPr>
        <w:spacing w:after="0"/>
        <w:ind w:left="708"/>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Lancia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The Most Elegant Way to Protect the Planet</w:t>
      </w:r>
      <w:r w:rsidRPr="001618F8">
        <w:rPr>
          <w:rFonts w:ascii="Encode Sans ExpandedLight" w:hAnsi="Encode Sans ExpandedLight" w:cs="Encode Sans ExpandedLight"/>
          <w:sz w:val="21"/>
          <w:szCs w:val="21"/>
          <w:lang w:val="en-GB"/>
        </w:rPr>
        <w:t>”</w:t>
      </w:r>
    </w:p>
    <w:p w:rsidR="001618F8" w:rsidRPr="001618F8" w:rsidRDefault="001618F8" w:rsidP="004D62E7">
      <w:pPr>
        <w:spacing w:after="0"/>
        <w:ind w:left="708"/>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Maserati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The Best in Performance Luxury, Electrified</w:t>
      </w:r>
      <w:r w:rsidRPr="001618F8">
        <w:rPr>
          <w:rFonts w:ascii="Encode Sans ExpandedLight" w:hAnsi="Encode Sans ExpandedLight" w:cs="Encode Sans ExpandedLight"/>
          <w:sz w:val="21"/>
          <w:szCs w:val="21"/>
          <w:lang w:val="en-GB"/>
        </w:rPr>
        <w:t>”</w:t>
      </w:r>
    </w:p>
    <w:p w:rsidR="001618F8" w:rsidRPr="001618F8" w:rsidRDefault="001618F8" w:rsidP="004D62E7">
      <w:pPr>
        <w:spacing w:after="0"/>
        <w:ind w:left="708"/>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Opel/Vauxhall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Green is the New Cool</w:t>
      </w:r>
      <w:r w:rsidRPr="001618F8">
        <w:rPr>
          <w:rFonts w:ascii="Encode Sans ExpandedLight" w:hAnsi="Encode Sans ExpandedLight" w:cs="Encode Sans ExpandedLight"/>
          <w:sz w:val="21"/>
          <w:szCs w:val="21"/>
          <w:lang w:val="en-GB"/>
        </w:rPr>
        <w:t>”</w:t>
      </w:r>
    </w:p>
    <w:p w:rsidR="001618F8" w:rsidRPr="001618F8" w:rsidRDefault="001618F8" w:rsidP="004D62E7">
      <w:pPr>
        <w:spacing w:after="0"/>
        <w:ind w:left="708"/>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Peugeot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Turning Sustainable Mobility into Quality Time”</w:t>
      </w:r>
    </w:p>
    <w:p w:rsidR="001618F8" w:rsidRPr="001618F8" w:rsidRDefault="001618F8" w:rsidP="004D62E7">
      <w:pPr>
        <w:spacing w:after="0"/>
        <w:ind w:left="708"/>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Ram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Built to Serve a Sustainable Planet</w:t>
      </w:r>
      <w:r w:rsidRPr="001618F8">
        <w:rPr>
          <w:rFonts w:ascii="Encode Sans ExpandedLight" w:hAnsi="Encode Sans ExpandedLight" w:cs="Encode Sans ExpandedLight"/>
          <w:sz w:val="21"/>
          <w:szCs w:val="21"/>
          <w:lang w:val="en-GB"/>
        </w:rPr>
        <w:t>”</w:t>
      </w:r>
    </w:p>
    <w:p w:rsidR="001618F8" w:rsidRPr="001618F8" w:rsidRDefault="001618F8" w:rsidP="004D62E7">
      <w:pPr>
        <w:spacing w:after="0"/>
        <w:ind w:left="1413" w:hanging="705"/>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Commercial Vehicles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 xml:space="preserve"> </w:t>
      </w:r>
      <w:r w:rsidRPr="001618F8">
        <w:rPr>
          <w:rFonts w:ascii="Encode Sans ExpandedLight" w:hAnsi="Encode Sans ExpandedLight" w:cs="Encode Sans ExpandedLight"/>
          <w:sz w:val="21"/>
          <w:szCs w:val="21"/>
          <w:lang w:val="en-GB"/>
        </w:rPr>
        <w:t>“</w:t>
      </w:r>
      <w:r w:rsidRPr="001618F8">
        <w:rPr>
          <w:rFonts w:ascii="Encode Sans ExpandedLight" w:hAnsi="Encode Sans ExpandedLight"/>
          <w:sz w:val="21"/>
          <w:szCs w:val="21"/>
          <w:lang w:val="en-GB"/>
        </w:rPr>
        <w:t>The Global Leader in e-Commercial Vehicles</w:t>
      </w:r>
      <w:r w:rsidRPr="001618F8">
        <w:rPr>
          <w:rFonts w:ascii="Encode Sans ExpandedLight" w:hAnsi="Encode Sans ExpandedLight" w:cs="Encode Sans ExpandedLight"/>
          <w:sz w:val="21"/>
          <w:szCs w:val="21"/>
          <w:lang w:val="en-GB"/>
        </w:rPr>
        <w:t>”</w:t>
      </w:r>
    </w:p>
    <w:p w:rsidR="004D62E7"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Driving range and rapid recharges are key to widespread consumer acceptance of BEVs. Stellantis meets this challenge with BEVs that will deliver ranges between 500-800 km/300-500 miles and with class-leading fast charging capability of 32 km/20 miles per minute.</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 xml:space="preserve">Stellantis will offer a full suite of solutions for private, business and fleet customers that help simplify the ownership journey. Efforts will include providing day-to-day smart charging offers using green energy sources, tapping into existing partnerships to expand charging options and accelerating smart grid use. </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 xml:space="preserve">The Company intends to meet the demands of its varied customers by supporting the development of fast charging networks across Europe, enabled by a memorandum of understanding (MOU) signed </w:t>
      </w:r>
      <w:r w:rsidR="00EF0E92">
        <w:rPr>
          <w:rFonts w:ascii="Encode Sans ExpandedLight" w:hAnsi="Encode Sans ExpandedLight"/>
          <w:sz w:val="21"/>
          <w:szCs w:val="21"/>
          <w:lang w:val="en-GB"/>
        </w:rPr>
        <w:t>between</w:t>
      </w:r>
      <w:r w:rsidRPr="001618F8">
        <w:rPr>
          <w:rFonts w:ascii="Encode Sans ExpandedLight" w:hAnsi="Encode Sans ExpandedLight"/>
          <w:sz w:val="21"/>
          <w:szCs w:val="21"/>
          <w:lang w:val="en-GB"/>
        </w:rPr>
        <w:t xml:space="preserve"> Free2Move </w:t>
      </w:r>
      <w:proofErr w:type="spellStart"/>
      <w:r w:rsidRPr="001618F8">
        <w:rPr>
          <w:rFonts w:ascii="Encode Sans ExpandedLight" w:hAnsi="Encode Sans ExpandedLight"/>
          <w:sz w:val="21"/>
          <w:szCs w:val="21"/>
          <w:lang w:val="en-GB"/>
        </w:rPr>
        <w:t>eSolutions</w:t>
      </w:r>
      <w:proofErr w:type="spellEnd"/>
      <w:r w:rsidRPr="001618F8">
        <w:rPr>
          <w:rFonts w:ascii="Encode Sans ExpandedLight" w:hAnsi="Encode Sans ExpandedLight"/>
          <w:sz w:val="21"/>
          <w:szCs w:val="21"/>
          <w:lang w:val="en-GB"/>
        </w:rPr>
        <w:t xml:space="preserve"> and </w:t>
      </w:r>
      <w:proofErr w:type="spellStart"/>
      <w:r w:rsidRPr="001618F8">
        <w:rPr>
          <w:rFonts w:ascii="Encode Sans ExpandedLight" w:hAnsi="Encode Sans ExpandedLight"/>
          <w:sz w:val="21"/>
          <w:szCs w:val="21"/>
          <w:lang w:val="en-GB"/>
        </w:rPr>
        <w:t>Engie</w:t>
      </w:r>
      <w:proofErr w:type="spellEnd"/>
      <w:r w:rsidRPr="001618F8">
        <w:rPr>
          <w:rFonts w:ascii="Encode Sans ExpandedLight" w:hAnsi="Encode Sans ExpandedLight"/>
          <w:sz w:val="21"/>
          <w:szCs w:val="21"/>
          <w:lang w:val="en-GB"/>
        </w:rPr>
        <w:t xml:space="preserve"> EPS. The intention is to mimic Free2Move </w:t>
      </w:r>
      <w:proofErr w:type="spellStart"/>
      <w:r w:rsidRPr="001618F8">
        <w:rPr>
          <w:rFonts w:ascii="Encode Sans ExpandedLight" w:hAnsi="Encode Sans ExpandedLight"/>
          <w:sz w:val="21"/>
          <w:szCs w:val="21"/>
          <w:lang w:val="en-GB"/>
        </w:rPr>
        <w:t>eSolutions</w:t>
      </w:r>
      <w:proofErr w:type="spellEnd"/>
      <w:r w:rsidRPr="001618F8">
        <w:rPr>
          <w:rFonts w:ascii="Encode Sans ExpandedLight" w:hAnsi="Encode Sans ExpandedLight"/>
          <w:sz w:val="21"/>
          <w:szCs w:val="21"/>
          <w:lang w:val="en-GB"/>
        </w:rPr>
        <w:t>’ business model for the North American market.</w:t>
      </w:r>
    </w:p>
    <w:p w:rsidR="004D62E7" w:rsidRPr="001618F8" w:rsidRDefault="004D62E7" w:rsidP="004D62E7">
      <w:pPr>
        <w:spacing w:after="0"/>
        <w:rPr>
          <w:rFonts w:ascii="Encode Sans ExpandedLight" w:hAnsi="Encode Sans ExpandedLight"/>
          <w:sz w:val="21"/>
          <w:szCs w:val="21"/>
          <w:lang w:val="en-GB"/>
        </w:rPr>
      </w:pPr>
    </w:p>
    <w:p w:rsidR="001618F8" w:rsidRPr="001618F8" w:rsidRDefault="001618F8" w:rsidP="004D62E7">
      <w:pPr>
        <w:spacing w:after="0"/>
        <w:rPr>
          <w:rFonts w:ascii="Encode Sans ExpandedLight" w:hAnsi="Encode Sans ExpandedLight"/>
          <w:b/>
          <w:sz w:val="21"/>
          <w:szCs w:val="21"/>
          <w:lang w:val="en-GB"/>
        </w:rPr>
      </w:pPr>
      <w:r w:rsidRPr="001618F8">
        <w:rPr>
          <w:rFonts w:ascii="Encode Sans ExpandedLight" w:hAnsi="Encode Sans ExpandedLight"/>
          <w:b/>
          <w:sz w:val="21"/>
          <w:szCs w:val="21"/>
          <w:lang w:val="en-GB"/>
        </w:rPr>
        <w:t>Smart Technology Enablers</w:t>
      </w:r>
    </w:p>
    <w:p w:rsidR="001618F8" w:rsidRP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Four BEV-centric platforms are the backbone of the electrified vehicles from Stellantis brands. The platforms are designed with a high level of flexibility (length and width) and component sharing, delivering economies of scale as each platform can support production of up to two million units per year.</w:t>
      </w:r>
    </w:p>
    <w:p w:rsidR="00A51346" w:rsidRDefault="00A51346"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The four platforms are:</w:t>
      </w:r>
    </w:p>
    <w:p w:rsidR="004D62E7" w:rsidRPr="001618F8" w:rsidRDefault="004D62E7" w:rsidP="004D62E7">
      <w:pPr>
        <w:spacing w:after="0"/>
        <w:rPr>
          <w:rFonts w:ascii="Encode Sans ExpandedLight" w:hAnsi="Encode Sans ExpandedLight"/>
          <w:sz w:val="21"/>
          <w:szCs w:val="21"/>
          <w:lang w:val="en-GB"/>
        </w:rPr>
      </w:pPr>
    </w:p>
    <w:p w:rsidR="001618F8" w:rsidRPr="001618F8" w:rsidRDefault="001618F8" w:rsidP="004D62E7">
      <w:pPr>
        <w:spacing w:after="0"/>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STLA Small, with a range up to 500 </w:t>
      </w:r>
      <w:proofErr w:type="spellStart"/>
      <w:r w:rsidRPr="001618F8">
        <w:rPr>
          <w:rFonts w:ascii="Encode Sans ExpandedLight" w:hAnsi="Encode Sans ExpandedLight"/>
          <w:sz w:val="21"/>
          <w:szCs w:val="21"/>
          <w:lang w:val="en-GB"/>
        </w:rPr>
        <w:t>kilometers</w:t>
      </w:r>
      <w:proofErr w:type="spellEnd"/>
      <w:r w:rsidRPr="001618F8">
        <w:rPr>
          <w:rFonts w:ascii="Encode Sans ExpandedLight" w:hAnsi="Encode Sans ExpandedLight"/>
          <w:sz w:val="21"/>
          <w:szCs w:val="21"/>
          <w:lang w:val="en-GB"/>
        </w:rPr>
        <w:t>/300 miles</w:t>
      </w:r>
    </w:p>
    <w:p w:rsidR="001618F8" w:rsidRPr="001618F8" w:rsidRDefault="001618F8" w:rsidP="004D62E7">
      <w:pPr>
        <w:spacing w:after="0"/>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STLA Medium, with a range up to 700 </w:t>
      </w:r>
      <w:proofErr w:type="spellStart"/>
      <w:r w:rsidRPr="001618F8">
        <w:rPr>
          <w:rFonts w:ascii="Encode Sans ExpandedLight" w:hAnsi="Encode Sans ExpandedLight"/>
          <w:sz w:val="21"/>
          <w:szCs w:val="21"/>
          <w:lang w:val="en-GB"/>
        </w:rPr>
        <w:t>kilometers</w:t>
      </w:r>
      <w:proofErr w:type="spellEnd"/>
      <w:r w:rsidRPr="001618F8">
        <w:rPr>
          <w:rFonts w:ascii="Encode Sans ExpandedLight" w:hAnsi="Encode Sans ExpandedLight"/>
          <w:sz w:val="21"/>
          <w:szCs w:val="21"/>
          <w:lang w:val="en-GB"/>
        </w:rPr>
        <w:t>/440 miles</w:t>
      </w:r>
    </w:p>
    <w:p w:rsidR="001618F8" w:rsidRPr="001618F8" w:rsidRDefault="001618F8" w:rsidP="004D62E7">
      <w:pPr>
        <w:spacing w:after="0"/>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 xml:space="preserve">STLA Large, with a range up to 800 </w:t>
      </w:r>
      <w:proofErr w:type="spellStart"/>
      <w:r w:rsidRPr="001618F8">
        <w:rPr>
          <w:rFonts w:ascii="Encode Sans ExpandedLight" w:hAnsi="Encode Sans ExpandedLight"/>
          <w:sz w:val="21"/>
          <w:szCs w:val="21"/>
          <w:lang w:val="en-GB"/>
        </w:rPr>
        <w:t>kilometers</w:t>
      </w:r>
      <w:proofErr w:type="spellEnd"/>
      <w:r w:rsidRPr="001618F8">
        <w:rPr>
          <w:rFonts w:ascii="Encode Sans ExpandedLight" w:hAnsi="Encode Sans ExpandedLight"/>
          <w:sz w:val="21"/>
          <w:szCs w:val="21"/>
          <w:lang w:val="en-GB"/>
        </w:rPr>
        <w:t>/500 miles</w:t>
      </w:r>
    </w:p>
    <w:p w:rsidR="003B0DCF" w:rsidRDefault="001618F8" w:rsidP="004D62E7">
      <w:pPr>
        <w:spacing w:after="0"/>
        <w:rPr>
          <w:rFonts w:ascii="Encode Sans ExpandedLight" w:hAnsi="Encode Sans ExpandedLight"/>
          <w:sz w:val="21"/>
          <w:szCs w:val="21"/>
          <w:lang w:val="en-GB"/>
        </w:rPr>
      </w:pPr>
      <w:r w:rsidRPr="001618F8">
        <w:rPr>
          <w:rFonts w:ascii="Times New Roman" w:hAnsi="Times New Roman" w:cs="Times New Roman"/>
          <w:sz w:val="21"/>
          <w:szCs w:val="21"/>
          <w:lang w:val="en-GB"/>
        </w:rPr>
        <w:t>●</w:t>
      </w:r>
      <w:r w:rsidRPr="001618F8">
        <w:rPr>
          <w:rFonts w:ascii="Encode Sans ExpandedLight" w:hAnsi="Encode Sans ExpandedLight"/>
          <w:sz w:val="21"/>
          <w:szCs w:val="21"/>
          <w:lang w:val="en-GB"/>
        </w:rPr>
        <w:tab/>
        <w:t>STLA Frame, with a range</w:t>
      </w:r>
      <w:r w:rsidR="003B0DCF">
        <w:rPr>
          <w:rFonts w:ascii="Encode Sans ExpandedLight" w:hAnsi="Encode Sans ExpandedLight"/>
          <w:sz w:val="21"/>
          <w:szCs w:val="21"/>
          <w:lang w:val="en-GB"/>
        </w:rPr>
        <w:t xml:space="preserve"> up </w:t>
      </w:r>
      <w:r w:rsidR="003B0DCF" w:rsidRPr="00854FE4">
        <w:rPr>
          <w:rFonts w:ascii="Encode Sans ExpandedLight" w:hAnsi="Encode Sans ExpandedLight"/>
          <w:sz w:val="21"/>
          <w:szCs w:val="21"/>
          <w:lang w:val="en-GB"/>
        </w:rPr>
        <w:t xml:space="preserve">to 800 </w:t>
      </w:r>
      <w:proofErr w:type="spellStart"/>
      <w:r w:rsidR="003B0DCF" w:rsidRPr="00854FE4">
        <w:rPr>
          <w:rFonts w:ascii="Encode Sans ExpandedLight" w:hAnsi="Encode Sans ExpandedLight"/>
          <w:sz w:val="21"/>
          <w:szCs w:val="21"/>
          <w:lang w:val="en-GB"/>
        </w:rPr>
        <w:t>kilometers</w:t>
      </w:r>
      <w:proofErr w:type="spellEnd"/>
      <w:r w:rsidR="003B0DCF" w:rsidRPr="00854FE4">
        <w:rPr>
          <w:rFonts w:ascii="Encode Sans ExpandedLight" w:hAnsi="Encode Sans ExpandedLight"/>
          <w:sz w:val="21"/>
          <w:szCs w:val="21"/>
          <w:lang w:val="en-GB"/>
        </w:rPr>
        <w:t>/500 miles</w:t>
      </w:r>
    </w:p>
    <w:p w:rsidR="003B0DCF" w:rsidRDefault="003B0DCF"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 xml:space="preserve">Propulsion includes a family of three electric drive modules (EDM) that combine the motor, gearbox and inverter. These EDMs are compact, flexible </w:t>
      </w:r>
      <w:r w:rsidRPr="001618F8">
        <w:rPr>
          <w:rFonts w:ascii="Encode Sans ExpandedLight" w:hAnsi="Encode Sans ExpandedLight"/>
          <w:sz w:val="21"/>
          <w:szCs w:val="21"/>
          <w:lang w:val="en-GB"/>
        </w:rPr>
        <w:lastRenderedPageBreak/>
        <w:t>and can be easily scaled. The EDMs can be configured for front-drive, rear-drive, all-wheel drive and 4xe.</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The combination of the platforms, EDMs and high energy-density battery packs will deliver vehicles with best-in-class performance in efficiency, range and recharging.</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A program of hardware upgrades and over-the-air software updates will extend the life of the platforms well into the next decade. Stellantis will develop software and controls in-house to maintain the characteristics unique to each brand.</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Battery packs will be tailored for a variety of vehicles – from smaller city cars to energy-dense packs for performance vehicles and trucks. Use of two battery chemistries is planned by 2024 to support various customer needs: a high energy-density option and a nickel cobalt-free alternative. By 2026, the first competitive solid state battery technology is targeted to be introduced</w:t>
      </w:r>
      <w:r w:rsidR="00EF0E92">
        <w:rPr>
          <w:rFonts w:ascii="Encode Sans ExpandedLight" w:hAnsi="Encode Sans ExpandedLight"/>
          <w:sz w:val="21"/>
          <w:szCs w:val="21"/>
          <w:lang w:val="en-GB"/>
        </w:rPr>
        <w:t>.</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Stellantis currently has or is completing several key technology joint ventures, ranging from e-powertrain and e-transmission operations to battery cell chemistry and production and digital cockpit and personalized connected services. These partnerships provide Stellantis the opportunity to leverage not only in-house competencies, but also the expertise of the partners in order to bring new technology and solutions to market more rapidly, while optimizing capital allocation to further enhance Stellantis competitiveness in the marketplace.</w:t>
      </w:r>
    </w:p>
    <w:p w:rsidR="004D62E7" w:rsidRPr="001618F8" w:rsidRDefault="004D62E7" w:rsidP="004D62E7">
      <w:pPr>
        <w:spacing w:after="0"/>
        <w:rPr>
          <w:rFonts w:ascii="Encode Sans ExpandedLight" w:hAnsi="Encode Sans ExpandedLight"/>
          <w:sz w:val="21"/>
          <w:szCs w:val="21"/>
          <w:lang w:val="en-GB"/>
        </w:rPr>
      </w:pPr>
    </w:p>
    <w:p w:rsidR="001618F8" w:rsidRDefault="001618F8" w:rsidP="004D62E7">
      <w:pPr>
        <w:spacing w:after="0"/>
        <w:rPr>
          <w:rFonts w:ascii="Encode Sans ExpandedLight" w:hAnsi="Encode Sans ExpandedLight"/>
          <w:sz w:val="21"/>
          <w:szCs w:val="21"/>
          <w:lang w:val="en-GB"/>
        </w:rPr>
      </w:pPr>
      <w:r w:rsidRPr="001618F8">
        <w:rPr>
          <w:rFonts w:ascii="Encode Sans ExpandedLight" w:hAnsi="Encode Sans ExpandedLight"/>
          <w:sz w:val="21"/>
          <w:szCs w:val="21"/>
          <w:lang w:val="en-GB"/>
        </w:rPr>
        <w:t>“Our electrification journey is quite possibly the most important brick to lay as we start to reveal the future of Stellantis just six months after its birth, and now the entire company is in full execution mode to exceed every customer’s expectations and accelerate our role in redefining the way the world moves,” said Carlos Tavares. “We have the scale, the skills, the spirit and the sustainability to achieve double-digit Adjusted Operating Income margins, lead the industry with benchmark efficiencies and deliver electrified vehicles that ignite passion.”</w:t>
      </w:r>
    </w:p>
    <w:p w:rsidR="004D62E7" w:rsidRPr="001618F8" w:rsidRDefault="004D62E7" w:rsidP="004D62E7">
      <w:pPr>
        <w:spacing w:after="0"/>
        <w:rPr>
          <w:rFonts w:ascii="Encode Sans ExpandedLight" w:hAnsi="Encode Sans ExpandedLight"/>
          <w:sz w:val="21"/>
          <w:szCs w:val="21"/>
          <w:lang w:val="en-GB"/>
        </w:rPr>
      </w:pPr>
    </w:p>
    <w:p w:rsidR="000835FF" w:rsidRPr="00B918EE" w:rsidRDefault="004D62E7" w:rsidP="004D62E7">
      <w:pPr>
        <w:spacing w:after="0"/>
        <w:rPr>
          <w:rFonts w:ascii="Encode Sans ExpandedLight" w:hAnsi="Encode Sans ExpandedLight"/>
          <w:sz w:val="21"/>
          <w:szCs w:val="21"/>
          <w:lang w:val="en-GB"/>
        </w:rPr>
      </w:pPr>
      <w:r w:rsidRPr="004D62E7">
        <w:rPr>
          <w:rFonts w:ascii="Encode Sans ExpandedLight" w:hAnsi="Encode Sans ExpandedLight"/>
          <w:sz w:val="21"/>
          <w:szCs w:val="21"/>
          <w:lang w:val="en-GB"/>
        </w:rPr>
        <w:t xml:space="preserve">For additional information related to the Stellantis EV Day 2021, refer to the Investors section of the of the corporate website at </w:t>
      </w:r>
      <w:hyperlink r:id="rId9" w:history="1">
        <w:r w:rsidRPr="00F10FED">
          <w:rPr>
            <w:rStyle w:val="Hyperlink"/>
            <w:rFonts w:ascii="Encode Sans ExpandedLight" w:hAnsi="Encode Sans ExpandedLight"/>
            <w:sz w:val="21"/>
            <w:szCs w:val="21"/>
            <w:lang w:val="en-GB"/>
          </w:rPr>
          <w:t>www.stellantis.com</w:t>
        </w:r>
      </w:hyperlink>
      <w:r w:rsidR="001618F8" w:rsidRPr="001618F8">
        <w:rPr>
          <w:rFonts w:ascii="Encode Sans ExpandedLight" w:hAnsi="Encode Sans ExpandedLight"/>
          <w:sz w:val="21"/>
          <w:szCs w:val="21"/>
          <w:lang w:val="en-GB"/>
        </w:rPr>
        <w:t>.</w:t>
      </w:r>
    </w:p>
    <w:p w:rsidR="004D62E7" w:rsidRDefault="004D62E7" w:rsidP="005128C7">
      <w:pPr>
        <w:spacing w:after="360" w:line="288" w:lineRule="auto"/>
        <w:jc w:val="left"/>
        <w:rPr>
          <w:rFonts w:ascii="Encode Sans SemiBold" w:hAnsi="Encode Sans SemiBold" w:cs="Calibri"/>
          <w:i/>
          <w:color w:val="243782" w:themeColor="text2"/>
          <w:sz w:val="18"/>
          <w:szCs w:val="22"/>
        </w:rPr>
      </w:pPr>
    </w:p>
    <w:p w:rsidR="005128C7" w:rsidRPr="00B918EE" w:rsidRDefault="005128C7" w:rsidP="005128C7">
      <w:pPr>
        <w:spacing w:after="360" w:line="288" w:lineRule="auto"/>
        <w:jc w:val="left"/>
        <w:rPr>
          <w:rFonts w:ascii="Encode Sans SemiBold" w:hAnsi="Encode Sans SemiBold" w:cs="Calibri"/>
          <w:i/>
          <w:color w:val="243782" w:themeColor="text2"/>
          <w:sz w:val="18"/>
          <w:szCs w:val="22"/>
        </w:rPr>
      </w:pPr>
      <w:r w:rsidRPr="00B918EE">
        <w:rPr>
          <w:rFonts w:ascii="Encode Sans SemiBold" w:hAnsi="Encode Sans SemiBold" w:cs="Calibri"/>
          <w:i/>
          <w:color w:val="243782" w:themeColor="text2"/>
          <w:sz w:val="18"/>
          <w:szCs w:val="22"/>
        </w:rPr>
        <w:t>About Stellantis</w:t>
      </w:r>
    </w:p>
    <w:p w:rsidR="005128C7" w:rsidRPr="00F14CA7" w:rsidRDefault="005128C7" w:rsidP="005128C7">
      <w:pPr>
        <w:spacing w:after="160" w:line="259" w:lineRule="auto"/>
        <w:rPr>
          <w:rFonts w:ascii="Encode Sans ExpandedLight" w:eastAsia="Calibri" w:hAnsi="Encode Sans ExpandedLight" w:cs="Calibri"/>
          <w:i/>
          <w:color w:val="1F497D"/>
          <w:sz w:val="18"/>
          <w:szCs w:val="22"/>
          <w:lang w:val="en-GB"/>
        </w:rPr>
      </w:pPr>
      <w:r w:rsidRPr="00B918EE">
        <w:rPr>
          <w:rStyle w:val="Hyperlink"/>
          <w:rFonts w:ascii="Encode Sans ExpandedLight" w:hAnsi="Encode Sans ExpandedLight" w:cs="Calibri"/>
          <w:b/>
          <w:i/>
          <w:sz w:val="18"/>
        </w:rPr>
        <w:t>Stellantis</w:t>
      </w:r>
      <w:r w:rsidRPr="00B918EE">
        <w:rPr>
          <w:szCs w:val="22"/>
        </w:rPr>
        <w:t xml:space="preserve"> </w:t>
      </w:r>
      <w:r w:rsidRPr="00B918EE">
        <w:rPr>
          <w:rFonts w:ascii="Encode Sans ExpandedLight" w:hAnsi="Encode Sans ExpandedLight" w:cs="Calibri"/>
          <w:i/>
          <w:sz w:val="18"/>
          <w:szCs w:val="22"/>
        </w:rPr>
        <w:t>is</w:t>
      </w:r>
      <w:r w:rsidRPr="00B918EE">
        <w:rPr>
          <w:rFonts w:ascii="Encode Sans ExpandedLight" w:hAnsi="Encode Sans ExpandedLight"/>
          <w:color w:val="1F497D"/>
        </w:rPr>
        <w:t xml:space="preserve"> </w:t>
      </w:r>
      <w:r w:rsidRPr="00B918EE">
        <w:rPr>
          <w:rFonts w:ascii="Encode Sans ExpandedLight" w:hAnsi="Encode Sans ExpandedLight" w:cs="Calibri"/>
          <w:i/>
          <w:sz w:val="18"/>
          <w:szCs w:val="22"/>
        </w:rPr>
        <w:t>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w:t>
      </w:r>
      <w:r w:rsidR="008F646D" w:rsidRPr="00B918EE">
        <w:rPr>
          <w:rFonts w:ascii="Encode Sans ExpandedLight" w:hAnsi="Encode Sans ExpandedLight" w:cs="Calibri"/>
          <w:i/>
          <w:sz w:val="18"/>
          <w:szCs w:val="22"/>
        </w:rPr>
        <w:t>d a competitive spirit that spea</w:t>
      </w:r>
      <w:r w:rsidRPr="00B918EE">
        <w:rPr>
          <w:rFonts w:ascii="Encode Sans ExpandedLight" w:hAnsi="Encode Sans ExpandedLight" w:cs="Calibri"/>
          <w:i/>
          <w:sz w:val="18"/>
          <w:szCs w:val="22"/>
        </w:rPr>
        <w:t>ks to employees and customers alike. Stellantis aspires to become the greatest, not t</w:t>
      </w:r>
      <w:r w:rsidR="00B267C0" w:rsidRPr="00B918EE">
        <w:rPr>
          <w:rFonts w:ascii="Encode Sans ExpandedLight" w:hAnsi="Encode Sans ExpandedLight" w:cs="Calibri"/>
          <w:i/>
          <w:sz w:val="18"/>
          <w:szCs w:val="22"/>
        </w:rPr>
        <w:t xml:space="preserve">he biggest while creating added </w:t>
      </w:r>
      <w:r w:rsidRPr="00B918EE">
        <w:rPr>
          <w:rFonts w:ascii="Encode Sans ExpandedLight" w:hAnsi="Encode Sans ExpandedLight" w:cs="Calibri"/>
          <w:i/>
          <w:sz w:val="18"/>
          <w:szCs w:val="22"/>
        </w:rPr>
        <w:t>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rsidTr="001666F7">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5C20F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10" o:title=""/>
                </v:shape>
                <o:OLEObject Type="Embed" ProgID="PBrush" ShapeID="_x0000_i1025" DrawAspect="Content" ObjectID="_1687333279" r:id="rId11"/>
              </w:object>
            </w:r>
            <w:hyperlink r:id="rId12" w:history="1">
              <w:r w:rsidRPr="00D64B4E">
                <w:rPr>
                  <w:rStyle w:val="Hyperlink"/>
                  <w:rFonts w:ascii="Encode Sans ExpandedLight" w:eastAsia="Calibri" w:hAnsi="Encode Sans ExpandedLight" w:cs="Times New Roman"/>
                  <w:sz w:val="20"/>
                </w:rPr>
                <w:t>@Stellantis</w:t>
              </w:r>
            </w:hyperlink>
          </w:p>
        </w:tc>
        <w:tc>
          <w:tcPr>
            <w:tcW w:w="2265"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76D4E6AA">
                <v:shape id="_x0000_i1026" type="#_x0000_t75" style="width:21pt;height:21pt" o:ole="">
                  <v:imagedata r:id="rId13" o:title=""/>
                </v:shape>
                <o:OLEObject Type="Embed" ProgID="PBrush" ShapeID="_x0000_i1026" DrawAspect="Content" ObjectID="_1687333280" r:id="rId14"/>
              </w:object>
            </w:r>
            <w:hyperlink r:id="rId15" w:history="1">
              <w:r w:rsidRPr="00D64B4E">
                <w:rPr>
                  <w:rStyle w:val="Hyperlink"/>
                  <w:rFonts w:ascii="Encode Sans ExpandedLight" w:eastAsia="Calibri" w:hAnsi="Encode Sans ExpandedLight" w:cs="Times New Roman"/>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60A1F899">
                <v:shape id="_x0000_i1027" type="#_x0000_t75" style="width:20.25pt;height:20.25pt" o:ole="">
                  <v:imagedata r:id="rId16" o:title=""/>
                </v:shape>
                <o:OLEObject Type="Embed" ProgID="PBrush" ShapeID="_x0000_i1027" DrawAspect="Content" ObjectID="_1687333281" r:id="rId17"/>
              </w:object>
            </w:r>
            <w:hyperlink r:id="rId18" w:history="1">
              <w:r w:rsidRPr="00D64B4E">
                <w:rPr>
                  <w:rStyle w:val="Hyperlink"/>
                  <w:rFonts w:ascii="Encode Sans ExpandedLight" w:eastAsia="Calibri" w:hAnsi="Encode Sans ExpandedLight" w:cs="Times New Roman"/>
                  <w:sz w:val="20"/>
                </w:rPr>
                <w:t>Stellantis</w:t>
              </w:r>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0CAF4B3">
                <v:shape id="_x0000_i1028" type="#_x0000_t75" style="width:22.5pt;height:22.5pt" o:ole="">
                  <v:imagedata r:id="rId19" o:title=""/>
                </v:shape>
                <o:OLEObject Type="Embed" ProgID="PBrush" ShapeID="_x0000_i1028" DrawAspect="Content" ObjectID="_1687333282" r:id="rId20"/>
              </w:object>
            </w:r>
            <w:hyperlink r:id="rId21" w:history="1">
              <w:r w:rsidRPr="00D64B4E">
                <w:rPr>
                  <w:rStyle w:val="Hyperlink"/>
                  <w:rFonts w:ascii="Encode Sans ExpandedLight" w:eastAsia="Calibri" w:hAnsi="Encode Sans ExpandedLight" w:cs="Times New Roman"/>
                  <w:sz w:val="20"/>
                </w:rPr>
                <w:t>Stellantis</w:t>
              </w:r>
            </w:hyperlink>
          </w:p>
        </w:tc>
      </w:tr>
    </w:tbl>
    <w:tbl>
      <w:tblPr>
        <w:tblStyle w:val="Grilledutableau1"/>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FF00F4" w:rsidRPr="000835FF" w:rsidTr="00B47B0A">
        <w:trPr>
          <w:trHeight w:val="2043"/>
        </w:trPr>
        <w:tc>
          <w:tcPr>
            <w:tcW w:w="5669" w:type="dxa"/>
          </w:tcPr>
          <w:p w:rsidR="00FF00F4" w:rsidRPr="009C3063" w:rsidRDefault="00FF00F4" w:rsidP="00B47B0A">
            <w:pPr>
              <w:rPr>
                <w:sz w:val="21"/>
                <w:szCs w:val="21"/>
              </w:rPr>
            </w:pPr>
            <w:r w:rsidRPr="009C3063">
              <w:rPr>
                <w:noProof/>
                <w:sz w:val="21"/>
                <w:szCs w:val="21"/>
              </w:rPr>
              <w:lastRenderedPageBreak/>
              <mc:AlternateContent>
                <mc:Choice Requires="wps">
                  <w:drawing>
                    <wp:inline distT="0" distB="0" distL="0" distR="0" wp14:anchorId="36BDE9A0" wp14:editId="2EB86D0D">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F85CC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FF00F4" w:rsidRPr="00FF00F4" w:rsidRDefault="00FF00F4" w:rsidP="00B47B0A">
            <w:pPr>
              <w:pStyle w:val="SContact-Title"/>
              <w:rPr>
                <w:sz w:val="21"/>
                <w:szCs w:val="21"/>
                <w:lang w:val="en-GB"/>
              </w:rPr>
            </w:pPr>
            <w:bookmarkStart w:id="1" w:name="_Hlk61784883"/>
            <w:r w:rsidRPr="00FF00F4">
              <w:rPr>
                <w:rFonts w:ascii="Encode Sans" w:eastAsia="Encode Sans" w:hAnsi="Encode Sans" w:cs="Times New Roman"/>
                <w:b/>
                <w:color w:val="243782"/>
                <w:sz w:val="21"/>
                <w:szCs w:val="21"/>
                <w:lang w:val="en-GB"/>
              </w:rPr>
              <w:t>For more information, please contact</w:t>
            </w:r>
            <w:r w:rsidRPr="00FF00F4">
              <w:rPr>
                <w:sz w:val="21"/>
                <w:szCs w:val="21"/>
                <w:lang w:val="en-GB"/>
              </w:rPr>
              <w:t>:</w:t>
            </w:r>
          </w:p>
          <w:p w:rsidR="001618F8" w:rsidRPr="005128C7" w:rsidRDefault="008B24C6" w:rsidP="001618F8">
            <w:pPr>
              <w:pStyle w:val="SContact-Sendersinfo"/>
              <w:rPr>
                <w:sz w:val="21"/>
                <w:szCs w:val="21"/>
              </w:rPr>
            </w:pPr>
            <w:sdt>
              <w:sdtPr>
                <w:rPr>
                  <w:sz w:val="21"/>
                  <w:szCs w:val="21"/>
                </w:rPr>
                <w:id w:val="1149550194"/>
                <w:placeholder>
                  <w:docPart w:val="D129E9ADFEAB4F4D8B4E8500A096FC9F"/>
                </w:placeholder>
                <w15:appearance w15:val="hidden"/>
              </w:sdtPr>
              <w:sdtEndPr/>
              <w:sdtContent>
                <w:r w:rsidR="001618F8">
                  <w:rPr>
                    <w:sz w:val="21"/>
                    <w:szCs w:val="21"/>
                  </w:rPr>
                  <w:t>Bertrand BLAISE</w:t>
                </w:r>
              </w:sdtContent>
            </w:sdt>
            <w:r w:rsidR="001618F8" w:rsidRPr="005128C7">
              <w:rPr>
                <w:sz w:val="21"/>
                <w:szCs w:val="21"/>
              </w:rPr>
              <w:t xml:space="preserve">  </w:t>
            </w:r>
            <w:sdt>
              <w:sdtPr>
                <w:rPr>
                  <w:sz w:val="21"/>
                  <w:szCs w:val="21"/>
                </w:rPr>
                <w:id w:val="-195931881"/>
                <w:placeholder>
                  <w:docPart w:val="7698D86412FD48FDB95349CBBDBD648B"/>
                </w:placeholder>
                <w15:appearance w15:val="hidden"/>
              </w:sdtPr>
              <w:sdtEndPr/>
              <w:sdtContent>
                <w:r w:rsidR="001618F8">
                  <w:rPr>
                    <w:rFonts w:asciiTheme="minorHAnsi" w:hAnsiTheme="minorHAnsi"/>
                    <w:sz w:val="21"/>
                    <w:szCs w:val="21"/>
                  </w:rPr>
                  <w:t xml:space="preserve"> + 33 </w:t>
                </w:r>
                <w:r w:rsidR="001618F8" w:rsidRPr="00E90047">
                  <w:rPr>
                    <w:rFonts w:asciiTheme="minorHAnsi" w:hAnsiTheme="minorHAnsi"/>
                    <w:sz w:val="21"/>
                    <w:szCs w:val="21"/>
                  </w:rPr>
                  <w:t>6</w:t>
                </w:r>
                <w:r w:rsidR="001618F8">
                  <w:rPr>
                    <w:rFonts w:asciiTheme="minorHAnsi" w:hAnsiTheme="minorHAnsi"/>
                    <w:sz w:val="21"/>
                    <w:szCs w:val="21"/>
                  </w:rPr>
                  <w:t xml:space="preserve"> </w:t>
                </w:r>
                <w:r w:rsidR="001618F8" w:rsidRPr="00E90047">
                  <w:rPr>
                    <w:rFonts w:asciiTheme="minorHAnsi" w:hAnsiTheme="minorHAnsi"/>
                    <w:sz w:val="21"/>
                    <w:szCs w:val="21"/>
                  </w:rPr>
                  <w:t>33</w:t>
                </w:r>
                <w:r w:rsidR="001618F8">
                  <w:rPr>
                    <w:rFonts w:asciiTheme="minorHAnsi" w:hAnsiTheme="minorHAnsi"/>
                    <w:sz w:val="21"/>
                    <w:szCs w:val="21"/>
                  </w:rPr>
                  <w:t xml:space="preserve"> </w:t>
                </w:r>
                <w:r w:rsidR="001618F8" w:rsidRPr="00E90047">
                  <w:rPr>
                    <w:rFonts w:asciiTheme="minorHAnsi" w:hAnsiTheme="minorHAnsi"/>
                    <w:sz w:val="21"/>
                    <w:szCs w:val="21"/>
                  </w:rPr>
                  <w:t>72</w:t>
                </w:r>
                <w:r w:rsidR="001618F8">
                  <w:rPr>
                    <w:rFonts w:asciiTheme="minorHAnsi" w:hAnsiTheme="minorHAnsi"/>
                    <w:sz w:val="21"/>
                    <w:szCs w:val="21"/>
                  </w:rPr>
                  <w:t xml:space="preserve"> </w:t>
                </w:r>
                <w:r w:rsidR="001618F8" w:rsidRPr="00E90047">
                  <w:rPr>
                    <w:rFonts w:asciiTheme="minorHAnsi" w:hAnsiTheme="minorHAnsi"/>
                    <w:sz w:val="21"/>
                    <w:szCs w:val="21"/>
                  </w:rPr>
                  <w:t>61</w:t>
                </w:r>
                <w:r w:rsidR="001618F8">
                  <w:rPr>
                    <w:rFonts w:asciiTheme="minorHAnsi" w:hAnsiTheme="minorHAnsi"/>
                    <w:sz w:val="21"/>
                    <w:szCs w:val="21"/>
                  </w:rPr>
                  <w:t xml:space="preserve"> </w:t>
                </w:r>
                <w:r w:rsidR="001618F8" w:rsidRPr="00E90047">
                  <w:rPr>
                    <w:rFonts w:asciiTheme="minorHAnsi" w:hAnsiTheme="minorHAnsi"/>
                    <w:sz w:val="21"/>
                    <w:szCs w:val="21"/>
                  </w:rPr>
                  <w:t>86</w:t>
                </w:r>
              </w:sdtContent>
            </w:sdt>
          </w:p>
          <w:p w:rsidR="001618F8" w:rsidRPr="005128C7" w:rsidRDefault="008B24C6" w:rsidP="001618F8">
            <w:pPr>
              <w:pStyle w:val="SContact-Sendersinfo"/>
              <w:rPr>
                <w:rFonts w:ascii="Encode Sans ExpandedLight" w:hAnsi="Encode Sans ExpandedLight"/>
                <w:sz w:val="21"/>
                <w:szCs w:val="21"/>
              </w:rPr>
            </w:pPr>
            <w:sdt>
              <w:sdtPr>
                <w:rPr>
                  <w:sz w:val="21"/>
                  <w:szCs w:val="21"/>
                </w:rPr>
                <w:id w:val="-1406597038"/>
                <w:placeholder>
                  <w:docPart w:val="E41F91C9EE2146F196969A2559865B12"/>
                </w:placeholder>
                <w15:appearance w15:val="hidden"/>
              </w:sdtPr>
              <w:sdtEndPr/>
              <w:sdtContent>
                <w:proofErr w:type="spellStart"/>
                <w:r w:rsidR="001618F8">
                  <w:rPr>
                    <w:sz w:val="21"/>
                    <w:szCs w:val="21"/>
                  </w:rPr>
                  <w:t>Valérie</w:t>
                </w:r>
                <w:proofErr w:type="spellEnd"/>
                <w:r w:rsidR="001618F8">
                  <w:rPr>
                    <w:sz w:val="21"/>
                    <w:szCs w:val="21"/>
                  </w:rPr>
                  <w:t xml:space="preserve"> GILLOT</w:t>
                </w:r>
              </w:sdtContent>
            </w:sdt>
            <w:r w:rsidR="001618F8" w:rsidRPr="005128C7">
              <w:rPr>
                <w:sz w:val="21"/>
                <w:szCs w:val="21"/>
              </w:rPr>
              <w:t xml:space="preserve">  </w:t>
            </w:r>
            <w:sdt>
              <w:sdtPr>
                <w:rPr>
                  <w:rFonts w:ascii="Encode Sans ExpandedLight" w:hAnsi="Encode Sans ExpandedLight"/>
                  <w:sz w:val="21"/>
                  <w:szCs w:val="21"/>
                </w:rPr>
                <w:id w:val="2062209474"/>
                <w:placeholder>
                  <w:docPart w:val="A818DAC1C2D3488C87E04854F51BF962"/>
                </w:placeholder>
                <w15:appearance w15:val="hidden"/>
              </w:sdtPr>
              <w:sdtEndPr/>
              <w:sdtContent>
                <w:r w:rsidR="001618F8">
                  <w:rPr>
                    <w:rFonts w:ascii="Encode Sans ExpandedLight" w:hAnsi="Encode Sans ExpandedLight"/>
                    <w:sz w:val="21"/>
                    <w:szCs w:val="21"/>
                  </w:rPr>
                  <w:t xml:space="preserve">+ 33 </w:t>
                </w:r>
                <w:r w:rsidR="001618F8" w:rsidRPr="00E90047">
                  <w:rPr>
                    <w:rFonts w:ascii="Encode Sans ExpandedLight" w:hAnsi="Encode Sans ExpandedLight"/>
                    <w:sz w:val="21"/>
                    <w:szCs w:val="21"/>
                  </w:rPr>
                  <w:t>6</w:t>
                </w:r>
                <w:r w:rsidR="001618F8">
                  <w:rPr>
                    <w:rFonts w:ascii="Encode Sans ExpandedLight" w:hAnsi="Encode Sans ExpandedLight"/>
                    <w:sz w:val="21"/>
                    <w:szCs w:val="21"/>
                  </w:rPr>
                  <w:t xml:space="preserve"> </w:t>
                </w:r>
                <w:r w:rsidR="001618F8" w:rsidRPr="00E90047">
                  <w:rPr>
                    <w:rFonts w:ascii="Encode Sans ExpandedLight" w:hAnsi="Encode Sans ExpandedLight"/>
                    <w:sz w:val="21"/>
                    <w:szCs w:val="21"/>
                  </w:rPr>
                  <w:t>83</w:t>
                </w:r>
                <w:r w:rsidR="001618F8">
                  <w:rPr>
                    <w:rFonts w:ascii="Encode Sans ExpandedLight" w:hAnsi="Encode Sans ExpandedLight"/>
                    <w:sz w:val="21"/>
                    <w:szCs w:val="21"/>
                  </w:rPr>
                  <w:t xml:space="preserve"> </w:t>
                </w:r>
                <w:r w:rsidR="001618F8" w:rsidRPr="00E90047">
                  <w:rPr>
                    <w:rFonts w:ascii="Encode Sans ExpandedLight" w:hAnsi="Encode Sans ExpandedLight"/>
                    <w:sz w:val="21"/>
                    <w:szCs w:val="21"/>
                  </w:rPr>
                  <w:t>92</w:t>
                </w:r>
                <w:r w:rsidR="001618F8">
                  <w:rPr>
                    <w:rFonts w:ascii="Encode Sans ExpandedLight" w:hAnsi="Encode Sans ExpandedLight"/>
                    <w:sz w:val="21"/>
                    <w:szCs w:val="21"/>
                  </w:rPr>
                  <w:t xml:space="preserve"> </w:t>
                </w:r>
                <w:r w:rsidR="001618F8" w:rsidRPr="00E90047">
                  <w:rPr>
                    <w:rFonts w:ascii="Encode Sans ExpandedLight" w:hAnsi="Encode Sans ExpandedLight"/>
                    <w:sz w:val="21"/>
                    <w:szCs w:val="21"/>
                  </w:rPr>
                  <w:t>92</w:t>
                </w:r>
                <w:r w:rsidR="001618F8">
                  <w:rPr>
                    <w:rFonts w:ascii="Encode Sans ExpandedLight" w:hAnsi="Encode Sans ExpandedLight"/>
                    <w:sz w:val="21"/>
                    <w:szCs w:val="21"/>
                  </w:rPr>
                  <w:t xml:space="preserve"> </w:t>
                </w:r>
                <w:r w:rsidR="001618F8" w:rsidRPr="00E90047">
                  <w:rPr>
                    <w:rFonts w:ascii="Encode Sans ExpandedLight" w:hAnsi="Encode Sans ExpandedLight"/>
                    <w:sz w:val="21"/>
                    <w:szCs w:val="21"/>
                  </w:rPr>
                  <w:t>96</w:t>
                </w:r>
              </w:sdtContent>
            </w:sdt>
          </w:p>
          <w:p w:rsidR="001618F8" w:rsidRPr="005128C7" w:rsidRDefault="008B24C6" w:rsidP="001618F8">
            <w:pPr>
              <w:pStyle w:val="SContact-Sendersinfo"/>
              <w:rPr>
                <w:sz w:val="21"/>
                <w:szCs w:val="21"/>
              </w:rPr>
            </w:pPr>
            <w:sdt>
              <w:sdtPr>
                <w:rPr>
                  <w:sz w:val="21"/>
                  <w:szCs w:val="21"/>
                </w:rPr>
                <w:id w:val="941722021"/>
                <w:placeholder>
                  <w:docPart w:val="6BD658E7DEE84D74BAD7C2B43953DA8C"/>
                </w:placeholder>
                <w15:appearance w15:val="hidden"/>
              </w:sdtPr>
              <w:sdtEndPr/>
              <w:sdtContent>
                <w:r w:rsidR="001618F8">
                  <w:rPr>
                    <w:sz w:val="21"/>
                    <w:szCs w:val="21"/>
                  </w:rPr>
                  <w:t>Pierre-Olivier SALMON</w:t>
                </w:r>
              </w:sdtContent>
            </w:sdt>
            <w:r w:rsidR="001618F8" w:rsidRPr="005128C7">
              <w:rPr>
                <w:sz w:val="21"/>
                <w:szCs w:val="21"/>
              </w:rPr>
              <w:t xml:space="preserve">  </w:t>
            </w:r>
            <w:sdt>
              <w:sdtPr>
                <w:rPr>
                  <w:rFonts w:ascii="Encode Sans ExpandedLight" w:hAnsi="Encode Sans ExpandedLight"/>
                  <w:sz w:val="21"/>
                  <w:szCs w:val="21"/>
                </w:rPr>
                <w:id w:val="-292211685"/>
                <w:placeholder>
                  <w:docPart w:val="4B8B6AA2DDC242D986FEFEA024141484"/>
                </w:placeholder>
                <w15:appearance w15:val="hidden"/>
              </w:sdtPr>
              <w:sdtEndPr/>
              <w:sdtContent>
                <w:r w:rsidR="001618F8" w:rsidRPr="00E90047">
                  <w:rPr>
                    <w:rFonts w:ascii="Encode Sans ExpandedLight" w:hAnsi="Encode Sans ExpandedLight"/>
                    <w:sz w:val="21"/>
                    <w:szCs w:val="21"/>
                  </w:rPr>
                  <w:t>+33</w:t>
                </w:r>
                <w:r w:rsidR="001618F8">
                  <w:rPr>
                    <w:rFonts w:ascii="Encode Sans ExpandedLight" w:hAnsi="Encode Sans ExpandedLight"/>
                    <w:sz w:val="21"/>
                    <w:szCs w:val="21"/>
                  </w:rPr>
                  <w:t xml:space="preserve"> </w:t>
                </w:r>
                <w:r w:rsidR="001618F8" w:rsidRPr="00E90047">
                  <w:rPr>
                    <w:rFonts w:ascii="Encode Sans ExpandedLight" w:hAnsi="Encode Sans ExpandedLight"/>
                    <w:sz w:val="21"/>
                    <w:szCs w:val="21"/>
                  </w:rPr>
                  <w:t>6</w:t>
                </w:r>
                <w:r w:rsidR="001618F8">
                  <w:rPr>
                    <w:rFonts w:ascii="Encode Sans ExpandedLight" w:hAnsi="Encode Sans ExpandedLight"/>
                    <w:sz w:val="21"/>
                    <w:szCs w:val="21"/>
                  </w:rPr>
                  <w:t xml:space="preserve"> </w:t>
                </w:r>
                <w:r w:rsidR="001618F8" w:rsidRPr="00E90047">
                  <w:rPr>
                    <w:rFonts w:ascii="Encode Sans ExpandedLight" w:hAnsi="Encode Sans ExpandedLight"/>
                    <w:sz w:val="21"/>
                    <w:szCs w:val="21"/>
                  </w:rPr>
                  <w:t>76</w:t>
                </w:r>
                <w:r w:rsidR="001618F8">
                  <w:rPr>
                    <w:rFonts w:ascii="Encode Sans ExpandedLight" w:hAnsi="Encode Sans ExpandedLight"/>
                    <w:sz w:val="21"/>
                    <w:szCs w:val="21"/>
                  </w:rPr>
                  <w:t xml:space="preserve"> </w:t>
                </w:r>
                <w:r w:rsidR="001618F8" w:rsidRPr="00E90047">
                  <w:rPr>
                    <w:rFonts w:ascii="Encode Sans ExpandedLight" w:hAnsi="Encode Sans ExpandedLight"/>
                    <w:sz w:val="21"/>
                    <w:szCs w:val="21"/>
                  </w:rPr>
                  <w:t>86</w:t>
                </w:r>
                <w:r w:rsidR="001618F8">
                  <w:rPr>
                    <w:rFonts w:ascii="Encode Sans ExpandedLight" w:hAnsi="Encode Sans ExpandedLight"/>
                    <w:sz w:val="21"/>
                    <w:szCs w:val="21"/>
                  </w:rPr>
                  <w:t xml:space="preserve"> </w:t>
                </w:r>
                <w:r w:rsidR="001618F8" w:rsidRPr="00E90047">
                  <w:rPr>
                    <w:rFonts w:ascii="Encode Sans ExpandedLight" w:hAnsi="Encode Sans ExpandedLight"/>
                    <w:sz w:val="21"/>
                    <w:szCs w:val="21"/>
                  </w:rPr>
                  <w:t>45</w:t>
                </w:r>
                <w:r w:rsidR="001618F8">
                  <w:rPr>
                    <w:rFonts w:ascii="Encode Sans ExpandedLight" w:hAnsi="Encode Sans ExpandedLight"/>
                    <w:sz w:val="21"/>
                    <w:szCs w:val="21"/>
                  </w:rPr>
                  <w:t xml:space="preserve"> </w:t>
                </w:r>
                <w:r w:rsidR="001618F8" w:rsidRPr="00E90047">
                  <w:rPr>
                    <w:rFonts w:ascii="Encode Sans ExpandedLight" w:hAnsi="Encode Sans ExpandedLight"/>
                    <w:sz w:val="21"/>
                    <w:szCs w:val="21"/>
                  </w:rPr>
                  <w:t>48</w:t>
                </w:r>
              </w:sdtContent>
            </w:sdt>
          </w:p>
          <w:p w:rsidR="00FF00F4" w:rsidRPr="00FF00F4" w:rsidRDefault="001618F8" w:rsidP="001618F8">
            <w:pPr>
              <w:pStyle w:val="SFooter-Emailwebsite"/>
              <w:rPr>
                <w:sz w:val="21"/>
                <w:szCs w:val="21"/>
                <w:lang w:val="fr-FR"/>
              </w:rPr>
            </w:pPr>
            <w:r w:rsidRPr="00FF00F4">
              <w:rPr>
                <w:sz w:val="21"/>
                <w:szCs w:val="21"/>
                <w:lang w:val="fr-FR"/>
              </w:rPr>
              <w:t xml:space="preserve"> </w:t>
            </w:r>
            <w:r w:rsidR="00FF00F4" w:rsidRPr="00FF00F4">
              <w:rPr>
                <w:sz w:val="21"/>
                <w:szCs w:val="21"/>
                <w:lang w:val="fr-FR"/>
              </w:rPr>
              <w:t>www.stellantis.com</w:t>
            </w:r>
            <w:bookmarkEnd w:id="1"/>
          </w:p>
        </w:tc>
      </w:tr>
    </w:tbl>
    <w:p w:rsidR="00A33E8D" w:rsidRDefault="00A33E8D" w:rsidP="00FF00F4">
      <w:pPr>
        <w:rPr>
          <w:lang w:val="fr-FR"/>
        </w:rPr>
      </w:pPr>
    </w:p>
    <w:p w:rsidR="001618F8" w:rsidRDefault="001618F8" w:rsidP="001618F8">
      <w:pPr>
        <w:spacing w:after="360" w:line="288" w:lineRule="auto"/>
        <w:jc w:val="left"/>
        <w:rPr>
          <w:rFonts w:ascii="Encode Sans SemiBold" w:hAnsi="Encode Sans SemiBold" w:cs="Calibri"/>
          <w:i/>
          <w:color w:val="243782" w:themeColor="text2"/>
          <w:sz w:val="18"/>
          <w:szCs w:val="22"/>
        </w:rPr>
      </w:pPr>
      <w:r>
        <w:rPr>
          <w:rFonts w:ascii="Encode Sans SemiBold" w:hAnsi="Encode Sans SemiBold" w:cs="Calibri"/>
          <w:i/>
          <w:color w:val="243782" w:themeColor="text2"/>
          <w:sz w:val="18"/>
          <w:szCs w:val="22"/>
        </w:rPr>
        <w:t>FORWARD-LOOKING STATEMENTS</w:t>
      </w:r>
    </w:p>
    <w:p w:rsidR="001618F8" w:rsidRPr="001618F8" w:rsidRDefault="001618F8" w:rsidP="00FF00F4">
      <w:pPr>
        <w:rPr>
          <w:i/>
          <w:sz w:val="16"/>
        </w:rPr>
      </w:pPr>
      <w:r w:rsidRPr="001618F8">
        <w:rPr>
          <w:i/>
          <w:sz w:val="16"/>
        </w:rPr>
        <w:t xml:space="preserve">This communication contains forward-looking statements. In particular, statements regarding future financial performance and the Company’s expectations as to the achievement of certain targeted metrics, including revenues, industrial free cash flows, vehicle shipments, capital investments, research and development costs and other expenses at any future date or for any future period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the Group’s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 </w:t>
      </w:r>
    </w:p>
    <w:p w:rsidR="001618F8" w:rsidRPr="001618F8" w:rsidRDefault="001618F8" w:rsidP="00FF00F4">
      <w:pPr>
        <w:rPr>
          <w:i/>
          <w:sz w:val="16"/>
        </w:rPr>
      </w:pPr>
      <w:r w:rsidRPr="001618F8">
        <w:rPr>
          <w:i/>
          <w:sz w:val="16"/>
        </w:rPr>
        <w:t xml:space="preserve">Actual results may differ materially from those expressed in forward-looking statements as a result of a variety of factors, including: the impact of the COVID-19 pandemic, the ability of the Group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the Group’s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the Group’s defined benefit pension plans; the ability to provide or arrange for access to adequate financing for dealers and retail customers and associated risks related to the establishment and operations of financial services companies; the ability to access funding to execute the Group’s business plans and improve their businesses, financial condition and results of operations; a significant malfunction, disruption or security breach compromising information technology systems or the electronic control systems contained in the Group’s vehicles; the Group’s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the Group's vehicles; developments in labor and industrial relations and developments in applicable labor laws; exchange rate fluctuations, interest rate changes, credit risk and other market risks; political and civil unrest; earthquakes or other disasters; the risk that the operations of Peugeot S.A. and Fiat Chrysler Automobiles N.V. will not be integrated successfully and other risks and uncertainties. </w:t>
      </w:r>
    </w:p>
    <w:p w:rsidR="001618F8" w:rsidRPr="001618F8" w:rsidRDefault="001618F8" w:rsidP="00FF00F4">
      <w:pPr>
        <w:rPr>
          <w:i/>
          <w:sz w:val="16"/>
          <w:lang w:val="fr-FR"/>
        </w:rPr>
      </w:pPr>
      <w:r w:rsidRPr="001618F8">
        <w:rPr>
          <w:i/>
          <w:sz w:val="16"/>
        </w:rPr>
        <w:t>Any forward-looking statements contained in this communication speak only as of the date of this document and the Group disclaims any obligation to update or revise publicly forward-looking statements. Further information concerning the Group and its businesses, including factors that could materially affect the Group’s financial results, is included in the Group's reports and filings with the U.S. Securities and Exchange Commission, AFM, CONSOB and AMF.</w:t>
      </w:r>
    </w:p>
    <w:sectPr w:rsidR="001618F8" w:rsidRPr="001618F8" w:rsidSect="009F333A">
      <w:footerReference w:type="default" r:id="rId22"/>
      <w:headerReference w:type="first" r:id="rId23"/>
      <w:pgSz w:w="11906" w:h="16838" w:code="9"/>
      <w:pgMar w:top="1135"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C6" w:rsidRDefault="008B24C6" w:rsidP="0002070C">
      <w:r>
        <w:separator/>
      </w:r>
    </w:p>
  </w:endnote>
  <w:endnote w:type="continuationSeparator" w:id="0">
    <w:p w:rsidR="008B24C6" w:rsidRDefault="008B24C6"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8A6AE358-F302-470B-A36F-2A090DC34A68}"/>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2" w:fontKey="{AEC1FF90-EC3D-4E25-9560-F8E906AF250B}"/>
    <w:embedBold r:id="rId3" w:fontKey="{9751027E-FA88-4DCB-897D-9E4A5F6C5E0A}"/>
    <w:embedItalic r:id="rId4" w:fontKey="{FBCEF18A-73FA-4546-B32D-4A009BC5F652}"/>
    <w:embedBoldItalic r:id="rId5" w:fontKey="{2B20748E-2F7C-4ACD-A436-0C4E9928A7DB}"/>
  </w:font>
  <w:font w:name="Encode Sans ExpandedSemiBold">
    <w:panose1 w:val="00000000000000000000"/>
    <w:charset w:val="00"/>
    <w:family w:val="auto"/>
    <w:pitch w:val="variable"/>
    <w:sig w:usb0="A00000FF" w:usb1="4000207B" w:usb2="00000000" w:usb3="00000000" w:csb0="00000193" w:csb1="00000000"/>
    <w:embedRegular r:id="rId6" w:fontKey="{4F3AE8D1-998C-42C1-87A6-AAE55CECF459}"/>
    <w:embedItalic r:id="rId7" w:fontKey="{F2966D39-125D-46C9-9581-C23A5971A046}"/>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Italic r:id="rId8" w:subsetted="1" w:fontKey="{CBD93FB4-B2EE-484F-8FDB-44D24A01FD70}"/>
  </w:font>
  <w:font w:name="Encode Sans">
    <w:panose1 w:val="00000000000000000000"/>
    <w:charset w:val="00"/>
    <w:family w:val="auto"/>
    <w:pitch w:val="variable"/>
    <w:sig w:usb0="A00000FF" w:usb1="4000207B" w:usb2="00000000" w:usb3="00000000" w:csb0="00000193" w:csb1="00000000"/>
    <w:embedBold r:id="rId9" w:subsetted="1" w:fontKey="{93E0F8B3-D16F-480C-A433-8A58DBFD3281}"/>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143E25">
      <w:rPr>
        <w:rStyle w:val="PageNumber"/>
        <w:noProof/>
        <w:szCs w:val="16"/>
      </w:rPr>
      <w:t>3</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C6" w:rsidRDefault="008B24C6" w:rsidP="0002070C">
      <w:r>
        <w:separator/>
      </w:r>
    </w:p>
  </w:footnote>
  <w:footnote w:type="continuationSeparator" w:id="0">
    <w:p w:rsidR="008B24C6" w:rsidRDefault="008B24C6"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rPr>
      <w:drawing>
        <wp:inline distT="0" distB="0" distL="0" distR="0" wp14:anchorId="1F04AB1E" wp14:editId="11256742">
          <wp:extent cx="2317210" cy="718820"/>
          <wp:effectExtent l="0" t="0" r="6985" b="508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2B5746"/>
    <w:multiLevelType w:val="multilevel"/>
    <w:tmpl w:val="9D30A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714C4E"/>
    <w:multiLevelType w:val="multilevel"/>
    <w:tmpl w:val="351E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9A1CD0"/>
    <w:multiLevelType w:val="multilevel"/>
    <w:tmpl w:val="FE20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F225A3"/>
    <w:multiLevelType w:val="hybridMultilevel"/>
    <w:tmpl w:val="AAA27D8E"/>
    <w:lvl w:ilvl="0" w:tplc="177C4B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5B2899"/>
    <w:multiLevelType w:val="hybridMultilevel"/>
    <w:tmpl w:val="7A884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F4"/>
    <w:rsid w:val="00000BC0"/>
    <w:rsid w:val="0002070C"/>
    <w:rsid w:val="0002217B"/>
    <w:rsid w:val="00024492"/>
    <w:rsid w:val="00025506"/>
    <w:rsid w:val="0003269E"/>
    <w:rsid w:val="000342E7"/>
    <w:rsid w:val="00081A33"/>
    <w:rsid w:val="000835FF"/>
    <w:rsid w:val="00087566"/>
    <w:rsid w:val="00087FF0"/>
    <w:rsid w:val="000C18FF"/>
    <w:rsid w:val="000F193E"/>
    <w:rsid w:val="00143E25"/>
    <w:rsid w:val="001571BA"/>
    <w:rsid w:val="0016113A"/>
    <w:rsid w:val="001618F8"/>
    <w:rsid w:val="00166F34"/>
    <w:rsid w:val="00167151"/>
    <w:rsid w:val="0018314C"/>
    <w:rsid w:val="0018433D"/>
    <w:rsid w:val="00190445"/>
    <w:rsid w:val="001A4358"/>
    <w:rsid w:val="001B4263"/>
    <w:rsid w:val="001B591C"/>
    <w:rsid w:val="001B70DF"/>
    <w:rsid w:val="001C030C"/>
    <w:rsid w:val="001C0C0A"/>
    <w:rsid w:val="001E3A5D"/>
    <w:rsid w:val="001E7847"/>
    <w:rsid w:val="00201DFA"/>
    <w:rsid w:val="00220B6B"/>
    <w:rsid w:val="00221FEB"/>
    <w:rsid w:val="00236806"/>
    <w:rsid w:val="00265F16"/>
    <w:rsid w:val="002836DD"/>
    <w:rsid w:val="00293E0C"/>
    <w:rsid w:val="00297094"/>
    <w:rsid w:val="002A5300"/>
    <w:rsid w:val="002C508D"/>
    <w:rsid w:val="002F18EC"/>
    <w:rsid w:val="003110EE"/>
    <w:rsid w:val="0036017D"/>
    <w:rsid w:val="0036503C"/>
    <w:rsid w:val="003864AD"/>
    <w:rsid w:val="003A6735"/>
    <w:rsid w:val="003B0DCF"/>
    <w:rsid w:val="003B5516"/>
    <w:rsid w:val="003D36BB"/>
    <w:rsid w:val="003E68CC"/>
    <w:rsid w:val="003F24FB"/>
    <w:rsid w:val="00400B91"/>
    <w:rsid w:val="004022B4"/>
    <w:rsid w:val="00411411"/>
    <w:rsid w:val="00425677"/>
    <w:rsid w:val="00433EDD"/>
    <w:rsid w:val="004345F9"/>
    <w:rsid w:val="0044219E"/>
    <w:rsid w:val="0045216F"/>
    <w:rsid w:val="0047032D"/>
    <w:rsid w:val="00486B8E"/>
    <w:rsid w:val="00487C87"/>
    <w:rsid w:val="004A2B09"/>
    <w:rsid w:val="004B5BE7"/>
    <w:rsid w:val="004D61EA"/>
    <w:rsid w:val="004D62E7"/>
    <w:rsid w:val="004E5BD0"/>
    <w:rsid w:val="004F0485"/>
    <w:rsid w:val="005128C7"/>
    <w:rsid w:val="00515C12"/>
    <w:rsid w:val="00535C6B"/>
    <w:rsid w:val="00536B1D"/>
    <w:rsid w:val="00537DB3"/>
    <w:rsid w:val="00544345"/>
    <w:rsid w:val="005708BD"/>
    <w:rsid w:val="005C1F23"/>
    <w:rsid w:val="005C5158"/>
    <w:rsid w:val="005C775F"/>
    <w:rsid w:val="005D7279"/>
    <w:rsid w:val="005F2120"/>
    <w:rsid w:val="006074EF"/>
    <w:rsid w:val="00613FB1"/>
    <w:rsid w:val="0061682B"/>
    <w:rsid w:val="006279C9"/>
    <w:rsid w:val="006338ED"/>
    <w:rsid w:val="00646166"/>
    <w:rsid w:val="0064773A"/>
    <w:rsid w:val="00655445"/>
    <w:rsid w:val="00655A10"/>
    <w:rsid w:val="00660BCA"/>
    <w:rsid w:val="006733A6"/>
    <w:rsid w:val="00674C94"/>
    <w:rsid w:val="00675B12"/>
    <w:rsid w:val="00682310"/>
    <w:rsid w:val="00683765"/>
    <w:rsid w:val="00683B2B"/>
    <w:rsid w:val="006B0549"/>
    <w:rsid w:val="006B5C7E"/>
    <w:rsid w:val="006D3EA9"/>
    <w:rsid w:val="006E27BF"/>
    <w:rsid w:val="006E5582"/>
    <w:rsid w:val="006F3D5A"/>
    <w:rsid w:val="00715647"/>
    <w:rsid w:val="00716893"/>
    <w:rsid w:val="00730F85"/>
    <w:rsid w:val="00736170"/>
    <w:rsid w:val="00776357"/>
    <w:rsid w:val="007A46E2"/>
    <w:rsid w:val="007D12C7"/>
    <w:rsid w:val="007E317D"/>
    <w:rsid w:val="007E364E"/>
    <w:rsid w:val="007E49CE"/>
    <w:rsid w:val="0080313B"/>
    <w:rsid w:val="00803BC1"/>
    <w:rsid w:val="00805FAA"/>
    <w:rsid w:val="008124BD"/>
    <w:rsid w:val="00815B14"/>
    <w:rsid w:val="008177DC"/>
    <w:rsid w:val="0082786D"/>
    <w:rsid w:val="00837340"/>
    <w:rsid w:val="0084014C"/>
    <w:rsid w:val="00844956"/>
    <w:rsid w:val="0085397B"/>
    <w:rsid w:val="00854FE4"/>
    <w:rsid w:val="0086416D"/>
    <w:rsid w:val="00864781"/>
    <w:rsid w:val="00875234"/>
    <w:rsid w:val="00877117"/>
    <w:rsid w:val="00885B22"/>
    <w:rsid w:val="00890ED4"/>
    <w:rsid w:val="008A1BFD"/>
    <w:rsid w:val="008B02AC"/>
    <w:rsid w:val="008B0D4F"/>
    <w:rsid w:val="008B24C6"/>
    <w:rsid w:val="008B4CD5"/>
    <w:rsid w:val="008D0A1A"/>
    <w:rsid w:val="008E799A"/>
    <w:rsid w:val="008F0F07"/>
    <w:rsid w:val="008F253C"/>
    <w:rsid w:val="008F2A13"/>
    <w:rsid w:val="008F646D"/>
    <w:rsid w:val="009458D4"/>
    <w:rsid w:val="009874D6"/>
    <w:rsid w:val="00992BE1"/>
    <w:rsid w:val="009968C5"/>
    <w:rsid w:val="009A23AB"/>
    <w:rsid w:val="009B5C99"/>
    <w:rsid w:val="009D12B1"/>
    <w:rsid w:val="009D180E"/>
    <w:rsid w:val="009D2071"/>
    <w:rsid w:val="009F2D88"/>
    <w:rsid w:val="009F333A"/>
    <w:rsid w:val="00A14F62"/>
    <w:rsid w:val="00A177A5"/>
    <w:rsid w:val="00A33E8D"/>
    <w:rsid w:val="00A36A20"/>
    <w:rsid w:val="00A44AFC"/>
    <w:rsid w:val="00A51346"/>
    <w:rsid w:val="00A51B6A"/>
    <w:rsid w:val="00A5296C"/>
    <w:rsid w:val="00A63E1B"/>
    <w:rsid w:val="00A71966"/>
    <w:rsid w:val="00A74E37"/>
    <w:rsid w:val="00A75948"/>
    <w:rsid w:val="00A87390"/>
    <w:rsid w:val="00AA4CAF"/>
    <w:rsid w:val="00AE0E14"/>
    <w:rsid w:val="00AF4CE0"/>
    <w:rsid w:val="00AF5DB8"/>
    <w:rsid w:val="00B02391"/>
    <w:rsid w:val="00B267C0"/>
    <w:rsid w:val="00B32F4C"/>
    <w:rsid w:val="00B450AC"/>
    <w:rsid w:val="00B622AE"/>
    <w:rsid w:val="00B64F18"/>
    <w:rsid w:val="00B918EE"/>
    <w:rsid w:val="00B92FB1"/>
    <w:rsid w:val="00B9358B"/>
    <w:rsid w:val="00BC5305"/>
    <w:rsid w:val="00BD29E5"/>
    <w:rsid w:val="00BD2ADB"/>
    <w:rsid w:val="00BD2BC5"/>
    <w:rsid w:val="00BD5D05"/>
    <w:rsid w:val="00BE6DB5"/>
    <w:rsid w:val="00C10E75"/>
    <w:rsid w:val="00C21B90"/>
    <w:rsid w:val="00C27363"/>
    <w:rsid w:val="00C27CD4"/>
    <w:rsid w:val="00C31F14"/>
    <w:rsid w:val="00C508B7"/>
    <w:rsid w:val="00C510B7"/>
    <w:rsid w:val="00C60A64"/>
    <w:rsid w:val="00C61441"/>
    <w:rsid w:val="00C63CC0"/>
    <w:rsid w:val="00C87191"/>
    <w:rsid w:val="00CA3356"/>
    <w:rsid w:val="00CF0E63"/>
    <w:rsid w:val="00D00BDF"/>
    <w:rsid w:val="00D22355"/>
    <w:rsid w:val="00D265D9"/>
    <w:rsid w:val="00D34F1F"/>
    <w:rsid w:val="00D35611"/>
    <w:rsid w:val="00D5456A"/>
    <w:rsid w:val="00D54C2A"/>
    <w:rsid w:val="00D57C97"/>
    <w:rsid w:val="00D75DA9"/>
    <w:rsid w:val="00D85399"/>
    <w:rsid w:val="00DA27E1"/>
    <w:rsid w:val="00DE711D"/>
    <w:rsid w:val="00DE72B9"/>
    <w:rsid w:val="00DF4282"/>
    <w:rsid w:val="00DF6BDB"/>
    <w:rsid w:val="00E0768E"/>
    <w:rsid w:val="00E21673"/>
    <w:rsid w:val="00E23B0D"/>
    <w:rsid w:val="00E40FE1"/>
    <w:rsid w:val="00E47347"/>
    <w:rsid w:val="00E613A1"/>
    <w:rsid w:val="00E75FA1"/>
    <w:rsid w:val="00E91808"/>
    <w:rsid w:val="00EA30F2"/>
    <w:rsid w:val="00EC1DB1"/>
    <w:rsid w:val="00ED2F38"/>
    <w:rsid w:val="00EE1EDD"/>
    <w:rsid w:val="00EF0E92"/>
    <w:rsid w:val="00EF28C7"/>
    <w:rsid w:val="00F340AD"/>
    <w:rsid w:val="00F34E2B"/>
    <w:rsid w:val="00F5284E"/>
    <w:rsid w:val="00F73BFA"/>
    <w:rsid w:val="00F74B70"/>
    <w:rsid w:val="00FB2C4C"/>
    <w:rsid w:val="00FB4171"/>
    <w:rsid w:val="00FD087F"/>
    <w:rsid w:val="00FD6CFC"/>
    <w:rsid w:val="00FF0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7AAB1"/>
  <w15:chartTrackingRefBased/>
  <w15:docId w15:val="{EF0C4C45-F326-4351-AC0D-B350683D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3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table" w:customStyle="1" w:styleId="Grilledutableau2">
    <w:name w:val="Grille du tableau2"/>
    <w:basedOn w:val="TableNormal"/>
    <w:next w:val="TableGrid"/>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FF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2F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F3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126">
      <w:bodyDiv w:val="1"/>
      <w:marLeft w:val="0"/>
      <w:marRight w:val="0"/>
      <w:marTop w:val="0"/>
      <w:marBottom w:val="0"/>
      <w:divBdr>
        <w:top w:val="none" w:sz="0" w:space="0" w:color="auto"/>
        <w:left w:val="none" w:sz="0" w:space="0" w:color="auto"/>
        <w:bottom w:val="none" w:sz="0" w:space="0" w:color="auto"/>
        <w:right w:val="none" w:sz="0" w:space="0" w:color="auto"/>
      </w:divBdr>
    </w:div>
    <w:div w:id="858591160">
      <w:bodyDiv w:val="1"/>
      <w:marLeft w:val="0"/>
      <w:marRight w:val="0"/>
      <w:marTop w:val="0"/>
      <w:marBottom w:val="0"/>
      <w:divBdr>
        <w:top w:val="none" w:sz="0" w:space="0" w:color="auto"/>
        <w:left w:val="none" w:sz="0" w:space="0" w:color="auto"/>
        <w:bottom w:val="none" w:sz="0" w:space="0" w:color="auto"/>
        <w:right w:val="none" w:sz="0" w:space="0" w:color="auto"/>
      </w:divBdr>
    </w:div>
    <w:div w:id="926503272">
      <w:bodyDiv w:val="1"/>
      <w:marLeft w:val="0"/>
      <w:marRight w:val="0"/>
      <w:marTop w:val="0"/>
      <w:marBottom w:val="0"/>
      <w:divBdr>
        <w:top w:val="none" w:sz="0" w:space="0" w:color="auto"/>
        <w:left w:val="none" w:sz="0" w:space="0" w:color="auto"/>
        <w:bottom w:val="none" w:sz="0" w:space="0" w:color="auto"/>
        <w:right w:val="none" w:sz="0" w:space="0" w:color="auto"/>
      </w:divBdr>
    </w:div>
    <w:div w:id="1067724174">
      <w:bodyDiv w:val="1"/>
      <w:marLeft w:val="0"/>
      <w:marRight w:val="0"/>
      <w:marTop w:val="0"/>
      <w:marBottom w:val="0"/>
      <w:divBdr>
        <w:top w:val="none" w:sz="0" w:space="0" w:color="auto"/>
        <w:left w:val="none" w:sz="0" w:space="0" w:color="auto"/>
        <w:bottom w:val="none" w:sz="0" w:space="0" w:color="auto"/>
        <w:right w:val="none" w:sz="0" w:space="0" w:color="auto"/>
      </w:divBdr>
    </w:div>
    <w:div w:id="1436826611">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598295385">
      <w:bodyDiv w:val="1"/>
      <w:marLeft w:val="0"/>
      <w:marRight w:val="0"/>
      <w:marTop w:val="0"/>
      <w:marBottom w:val="0"/>
      <w:divBdr>
        <w:top w:val="none" w:sz="0" w:space="0" w:color="auto"/>
        <w:left w:val="none" w:sz="0" w:space="0" w:color="auto"/>
        <w:bottom w:val="none" w:sz="0" w:space="0" w:color="auto"/>
        <w:right w:val="none" w:sz="0" w:space="0" w:color="auto"/>
      </w:divBdr>
    </w:div>
    <w:div w:id="21078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image" Target="media/image2.png"/><Relationship Id="rId18" Type="http://schemas.openxmlformats.org/officeDocument/2006/relationships/hyperlink" Target="https://www.linkedin.com/company/Stellanti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channel/UCKgSLvI1SYKOTpEToycAz7Q" TargetMode="External"/><Relationship Id="rId7" Type="http://schemas.openxmlformats.org/officeDocument/2006/relationships/endnotes" Target="endnotes.xml"/><Relationship Id="rId12" Type="http://schemas.openxmlformats.org/officeDocument/2006/relationships/hyperlink" Target="https://twitter.com/stellantis" TargetMode="External"/><Relationship Id="rId17" Type="http://schemas.openxmlformats.org/officeDocument/2006/relationships/oleObject" Target="embeddings/oleObject3.bin"/><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tellantis.com"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29E9ADFEAB4F4D8B4E8500A096FC9F"/>
        <w:category>
          <w:name w:val="General"/>
          <w:gallery w:val="placeholder"/>
        </w:category>
        <w:types>
          <w:type w:val="bbPlcHdr"/>
        </w:types>
        <w:behaviors>
          <w:behavior w:val="content"/>
        </w:behaviors>
        <w:guid w:val="{9FDE223B-39F3-4011-80F4-0569B3039109}"/>
      </w:docPartPr>
      <w:docPartBody>
        <w:p w:rsidR="00123628" w:rsidRDefault="0038137F" w:rsidP="0038137F">
          <w:pPr>
            <w:pStyle w:val="D129E9ADFEAB4F4D8B4E8500A096FC9F"/>
          </w:pPr>
          <w:r w:rsidRPr="0086416D">
            <w:rPr>
              <w:rStyle w:val="PlaceholderText"/>
              <w:b/>
              <w:color w:val="44546A" w:themeColor="text2"/>
            </w:rPr>
            <w:t>First name LAST NAME</w:t>
          </w:r>
        </w:p>
      </w:docPartBody>
    </w:docPart>
    <w:docPart>
      <w:docPartPr>
        <w:name w:val="7698D86412FD48FDB95349CBBDBD648B"/>
        <w:category>
          <w:name w:val="General"/>
          <w:gallery w:val="placeholder"/>
        </w:category>
        <w:types>
          <w:type w:val="bbPlcHdr"/>
        </w:types>
        <w:behaviors>
          <w:behavior w:val="content"/>
        </w:behaviors>
        <w:guid w:val="{5C6EF8AF-A3A6-49B0-B32A-AE147DD7BF30}"/>
      </w:docPartPr>
      <w:docPartBody>
        <w:p w:rsidR="00123628" w:rsidRDefault="0038137F" w:rsidP="0038137F">
          <w:pPr>
            <w:pStyle w:val="7698D86412FD48FDB95349CBBDBD648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41F91C9EE2146F196969A2559865B12"/>
        <w:category>
          <w:name w:val="General"/>
          <w:gallery w:val="placeholder"/>
        </w:category>
        <w:types>
          <w:type w:val="bbPlcHdr"/>
        </w:types>
        <w:behaviors>
          <w:behavior w:val="content"/>
        </w:behaviors>
        <w:guid w:val="{83276C1C-77D6-4DDE-AE37-C14191C3BDC9}"/>
      </w:docPartPr>
      <w:docPartBody>
        <w:p w:rsidR="00123628" w:rsidRDefault="0038137F" w:rsidP="0038137F">
          <w:pPr>
            <w:pStyle w:val="E41F91C9EE2146F196969A2559865B12"/>
          </w:pPr>
          <w:r w:rsidRPr="0086416D">
            <w:rPr>
              <w:rStyle w:val="PlaceholderText"/>
              <w:b/>
              <w:color w:val="44546A" w:themeColor="text2"/>
            </w:rPr>
            <w:t>First name LAST NAME</w:t>
          </w:r>
        </w:p>
      </w:docPartBody>
    </w:docPart>
    <w:docPart>
      <w:docPartPr>
        <w:name w:val="A818DAC1C2D3488C87E04854F51BF962"/>
        <w:category>
          <w:name w:val="General"/>
          <w:gallery w:val="placeholder"/>
        </w:category>
        <w:types>
          <w:type w:val="bbPlcHdr"/>
        </w:types>
        <w:behaviors>
          <w:behavior w:val="content"/>
        </w:behaviors>
        <w:guid w:val="{FE1A1213-25E5-4C8D-8A63-6E7A358AB622}"/>
      </w:docPartPr>
      <w:docPartBody>
        <w:p w:rsidR="00123628" w:rsidRDefault="0038137F" w:rsidP="0038137F">
          <w:pPr>
            <w:pStyle w:val="A818DAC1C2D3488C87E04854F51BF96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6BD658E7DEE84D74BAD7C2B43953DA8C"/>
        <w:category>
          <w:name w:val="General"/>
          <w:gallery w:val="placeholder"/>
        </w:category>
        <w:types>
          <w:type w:val="bbPlcHdr"/>
        </w:types>
        <w:behaviors>
          <w:behavior w:val="content"/>
        </w:behaviors>
        <w:guid w:val="{4443EAE9-60AE-465E-9991-063EA230FC27}"/>
      </w:docPartPr>
      <w:docPartBody>
        <w:p w:rsidR="00123628" w:rsidRDefault="0038137F" w:rsidP="0038137F">
          <w:pPr>
            <w:pStyle w:val="6BD658E7DEE84D74BAD7C2B43953DA8C"/>
          </w:pPr>
          <w:r w:rsidRPr="0086416D">
            <w:rPr>
              <w:rStyle w:val="PlaceholderText"/>
              <w:b/>
              <w:color w:val="44546A" w:themeColor="text2"/>
            </w:rPr>
            <w:t>First name LAST NAME</w:t>
          </w:r>
        </w:p>
      </w:docPartBody>
    </w:docPart>
    <w:docPart>
      <w:docPartPr>
        <w:name w:val="4B8B6AA2DDC242D986FEFEA024141484"/>
        <w:category>
          <w:name w:val="General"/>
          <w:gallery w:val="placeholder"/>
        </w:category>
        <w:types>
          <w:type w:val="bbPlcHdr"/>
        </w:types>
        <w:behaviors>
          <w:behavior w:val="content"/>
        </w:behaviors>
        <w:guid w:val="{042085C0-3AC1-4036-92A7-90E0F232A8F8}"/>
      </w:docPartPr>
      <w:docPartBody>
        <w:p w:rsidR="00123628" w:rsidRDefault="0038137F" w:rsidP="0038137F">
          <w:pPr>
            <w:pStyle w:val="4B8B6AA2DDC242D986FEFEA02414148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4A"/>
    <w:rsid w:val="00071E6D"/>
    <w:rsid w:val="000B4EEB"/>
    <w:rsid w:val="00123628"/>
    <w:rsid w:val="00256D44"/>
    <w:rsid w:val="00352FE4"/>
    <w:rsid w:val="0038137F"/>
    <w:rsid w:val="003B06E2"/>
    <w:rsid w:val="004B2C7A"/>
    <w:rsid w:val="00520AE9"/>
    <w:rsid w:val="0059153A"/>
    <w:rsid w:val="005B0173"/>
    <w:rsid w:val="005D1327"/>
    <w:rsid w:val="00674C86"/>
    <w:rsid w:val="006C3F4A"/>
    <w:rsid w:val="00790A4F"/>
    <w:rsid w:val="008D2DB8"/>
    <w:rsid w:val="008E76E1"/>
    <w:rsid w:val="0099409A"/>
    <w:rsid w:val="00A31AD0"/>
    <w:rsid w:val="00A93BB3"/>
    <w:rsid w:val="00A94E44"/>
    <w:rsid w:val="00B34083"/>
    <w:rsid w:val="00C06994"/>
    <w:rsid w:val="00C66001"/>
    <w:rsid w:val="00CF4B8E"/>
    <w:rsid w:val="00D004B5"/>
    <w:rsid w:val="00DD01FA"/>
    <w:rsid w:val="00F04FFE"/>
    <w:rsid w:val="00F52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37F"/>
    <w:rPr>
      <w:color w:val="808080"/>
    </w:rPr>
  </w:style>
  <w:style w:type="paragraph" w:customStyle="1" w:styleId="11D55DC66F31484994574A694AA23BDD">
    <w:name w:val="11D55DC66F31484994574A694AA23BDD"/>
  </w:style>
  <w:style w:type="paragraph" w:customStyle="1" w:styleId="920943D0AFE941309DDB261E1138D1E6">
    <w:name w:val="920943D0AFE941309DDB261E1138D1E6"/>
  </w:style>
  <w:style w:type="paragraph" w:customStyle="1" w:styleId="5C39BC43D378435C8EF2825A520F114C">
    <w:name w:val="5C39BC43D378435C8EF2825A520F114C"/>
  </w:style>
  <w:style w:type="paragraph" w:customStyle="1" w:styleId="F578B7A021F34990A043DECD4D7F62B9">
    <w:name w:val="F578B7A021F34990A043DECD4D7F62B9"/>
  </w:style>
  <w:style w:type="paragraph" w:customStyle="1" w:styleId="A1B861D1BBAD46FCB9766778A27DDAEE">
    <w:name w:val="A1B861D1BBAD46FCB9766778A27DDAEE"/>
  </w:style>
  <w:style w:type="paragraph" w:customStyle="1" w:styleId="F3E41027B8C04429B5BE241F0F81EE53">
    <w:name w:val="F3E41027B8C04429B5BE241F0F81EE53"/>
  </w:style>
  <w:style w:type="paragraph" w:customStyle="1" w:styleId="FF740434927A4DD7B9986E762F763F00">
    <w:name w:val="FF740434927A4DD7B9986E762F763F00"/>
  </w:style>
  <w:style w:type="paragraph" w:customStyle="1" w:styleId="6DC0A41476EB45D6963F1508E2B81A24">
    <w:name w:val="6DC0A41476EB45D6963F1508E2B81A24"/>
  </w:style>
  <w:style w:type="paragraph" w:customStyle="1" w:styleId="5978AB658A1B45AA9A8A5C2096E8D60F">
    <w:name w:val="5978AB658A1B45AA9A8A5C2096E8D60F"/>
  </w:style>
  <w:style w:type="paragraph" w:customStyle="1" w:styleId="1FD9D8A41A14443D8F55447B76FE9BDB">
    <w:name w:val="1FD9D8A41A14443D8F55447B76FE9BDB"/>
    <w:rsid w:val="006C3F4A"/>
  </w:style>
  <w:style w:type="paragraph" w:customStyle="1" w:styleId="B4CB121A6CA34B15B1066FA6E150B346">
    <w:name w:val="B4CB121A6CA34B15B1066FA6E150B346"/>
    <w:rsid w:val="006C3F4A"/>
  </w:style>
  <w:style w:type="paragraph" w:customStyle="1" w:styleId="61DDA2CF5E06451EBA16BC7B6CCBC620">
    <w:name w:val="61DDA2CF5E06451EBA16BC7B6CCBC620"/>
    <w:rsid w:val="006C3F4A"/>
  </w:style>
  <w:style w:type="paragraph" w:customStyle="1" w:styleId="BEB7AA518F864545A715B8D932169B29">
    <w:name w:val="BEB7AA518F864545A715B8D932169B29"/>
    <w:rsid w:val="006C3F4A"/>
  </w:style>
  <w:style w:type="paragraph" w:customStyle="1" w:styleId="5C602A6C56FB437F83EBB579C3FBAB2B">
    <w:name w:val="5C602A6C56FB437F83EBB579C3FBAB2B"/>
    <w:rsid w:val="00CF4B8E"/>
    <w:rPr>
      <w:lang w:val="it-IT" w:eastAsia="it-IT"/>
    </w:rPr>
  </w:style>
  <w:style w:type="paragraph" w:customStyle="1" w:styleId="A55E95EA3FC942CC849C90DB07CB3DDA">
    <w:name w:val="A55E95EA3FC942CC849C90DB07CB3DDA"/>
    <w:rsid w:val="00CF4B8E"/>
    <w:rPr>
      <w:lang w:val="it-IT" w:eastAsia="it-IT"/>
    </w:rPr>
  </w:style>
  <w:style w:type="paragraph" w:customStyle="1" w:styleId="D129E9ADFEAB4F4D8B4E8500A096FC9F">
    <w:name w:val="D129E9ADFEAB4F4D8B4E8500A096FC9F"/>
    <w:rsid w:val="0038137F"/>
    <w:rPr>
      <w:lang w:val="en-US" w:eastAsia="en-US"/>
    </w:rPr>
  </w:style>
  <w:style w:type="paragraph" w:customStyle="1" w:styleId="7698D86412FD48FDB95349CBBDBD648B">
    <w:name w:val="7698D86412FD48FDB95349CBBDBD648B"/>
    <w:rsid w:val="0038137F"/>
    <w:rPr>
      <w:lang w:val="en-US" w:eastAsia="en-US"/>
    </w:rPr>
  </w:style>
  <w:style w:type="paragraph" w:customStyle="1" w:styleId="E41F91C9EE2146F196969A2559865B12">
    <w:name w:val="E41F91C9EE2146F196969A2559865B12"/>
    <w:rsid w:val="0038137F"/>
    <w:rPr>
      <w:lang w:val="en-US" w:eastAsia="en-US"/>
    </w:rPr>
  </w:style>
  <w:style w:type="paragraph" w:customStyle="1" w:styleId="A818DAC1C2D3488C87E04854F51BF962">
    <w:name w:val="A818DAC1C2D3488C87E04854F51BF962"/>
    <w:rsid w:val="0038137F"/>
    <w:rPr>
      <w:lang w:val="en-US" w:eastAsia="en-US"/>
    </w:rPr>
  </w:style>
  <w:style w:type="paragraph" w:customStyle="1" w:styleId="6BD658E7DEE84D74BAD7C2B43953DA8C">
    <w:name w:val="6BD658E7DEE84D74BAD7C2B43953DA8C"/>
    <w:rsid w:val="0038137F"/>
    <w:rPr>
      <w:lang w:val="en-US" w:eastAsia="en-US"/>
    </w:rPr>
  </w:style>
  <w:style w:type="paragraph" w:customStyle="1" w:styleId="4B8B6AA2DDC242D986FEFEA024141484">
    <w:name w:val="4B8B6AA2DDC242D986FEFEA024141484"/>
    <w:rsid w:val="0038137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5BD74-1BE5-4169-B193-35BEB589C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2021mmdd_PR_Stellantis_Press_Release_A4_ENG.dotx</Template>
  <TotalTime>1</TotalTime>
  <Pages>5</Pages>
  <Words>2462</Words>
  <Characters>14037</Characters>
  <Application>Microsoft Office Word</Application>
  <DocSecurity>0</DocSecurity>
  <Lines>116</Lines>
  <Paragraphs>32</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Connelly Kaileen (FCA)</cp:lastModifiedBy>
  <cp:revision>3</cp:revision>
  <cp:lastPrinted>2021-01-20T13:02:00Z</cp:lastPrinted>
  <dcterms:created xsi:type="dcterms:W3CDTF">2021-07-09T14:55:00Z</dcterms:created>
  <dcterms:modified xsi:type="dcterms:W3CDTF">2021-07-09T14:55:00Z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